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48CF" w14:textId="77777777" w:rsidR="004151A2" w:rsidRPr="00BE7793" w:rsidRDefault="001E5696">
      <w:pPr>
        <w:spacing w:after="0"/>
        <w:jc w:val="center"/>
        <w:rPr>
          <w:szCs w:val="24"/>
        </w:rPr>
      </w:pPr>
      <w:r w:rsidRPr="00BE7793">
        <w:rPr>
          <w:b/>
          <w:color w:val="000000"/>
          <w:szCs w:val="24"/>
        </w:rPr>
        <w:t>Stan na dzień sporządzenia prospektu informacyjnego</w:t>
      </w:r>
    </w:p>
    <w:tbl>
      <w:tblPr>
        <w:tblW w:w="0" w:type="auto"/>
        <w:tblCellSpacing w:w="0" w:type="auto"/>
        <w:tblLook w:val="04A0" w:firstRow="1" w:lastRow="0" w:firstColumn="1" w:lastColumn="0" w:noHBand="0" w:noVBand="1"/>
      </w:tblPr>
      <w:tblGrid>
        <w:gridCol w:w="6836"/>
        <w:gridCol w:w="2191"/>
      </w:tblGrid>
      <w:tr w:rsidR="004151A2" w:rsidRPr="00BE7793" w14:paraId="364A67C9" w14:textId="77777777">
        <w:trPr>
          <w:trHeight w:val="30"/>
          <w:tblCellSpacing w:w="0" w:type="auto"/>
        </w:trPr>
        <w:tc>
          <w:tcPr>
            <w:tcW w:w="11912" w:type="dxa"/>
            <w:tcMar>
              <w:top w:w="15" w:type="dxa"/>
              <w:left w:w="15" w:type="dxa"/>
              <w:bottom w:w="15" w:type="dxa"/>
              <w:right w:w="15" w:type="dxa"/>
            </w:tcMar>
            <w:vAlign w:val="center"/>
          </w:tcPr>
          <w:p w14:paraId="0C660026" w14:textId="77777777" w:rsidR="004151A2" w:rsidRPr="00BE7793" w:rsidRDefault="004151A2">
            <w:pPr>
              <w:rPr>
                <w:szCs w:val="24"/>
              </w:rPr>
            </w:pPr>
          </w:p>
        </w:tc>
        <w:tc>
          <w:tcPr>
            <w:tcW w:w="2829" w:type="dxa"/>
            <w:tcMar>
              <w:top w:w="15" w:type="dxa"/>
              <w:left w:w="15" w:type="dxa"/>
              <w:bottom w:w="15" w:type="dxa"/>
              <w:right w:w="15" w:type="dxa"/>
            </w:tcMar>
            <w:vAlign w:val="center"/>
          </w:tcPr>
          <w:tbl>
            <w:tblPr>
              <w:tblStyle w:val="Tabela-Siatka"/>
              <w:tblW w:w="0" w:type="auto"/>
              <w:tblLook w:val="04A0" w:firstRow="1" w:lastRow="0" w:firstColumn="1" w:lastColumn="0" w:noHBand="0" w:noVBand="1"/>
            </w:tblPr>
            <w:tblGrid>
              <w:gridCol w:w="1702"/>
            </w:tblGrid>
            <w:tr w:rsidR="00CB65D7" w:rsidRPr="00BE7793" w14:paraId="174F5539" w14:textId="77777777" w:rsidTr="00CB65D7">
              <w:tc>
                <w:tcPr>
                  <w:tcW w:w="1702" w:type="dxa"/>
                </w:tcPr>
                <w:p w14:paraId="4AE39170" w14:textId="52360244" w:rsidR="00CB65D7" w:rsidRPr="00BE7793" w:rsidRDefault="00736CD1">
                  <w:pPr>
                    <w:rPr>
                      <w:szCs w:val="24"/>
                    </w:rPr>
                  </w:pPr>
                  <w:r>
                    <w:rPr>
                      <w:szCs w:val="24"/>
                    </w:rPr>
                    <w:t>01.07</w:t>
                  </w:r>
                  <w:r w:rsidR="00D652EA">
                    <w:rPr>
                      <w:szCs w:val="24"/>
                    </w:rPr>
                    <w:t>.2026 r.</w:t>
                  </w:r>
                </w:p>
              </w:tc>
            </w:tr>
          </w:tbl>
          <w:p w14:paraId="40206834" w14:textId="504D7FBC" w:rsidR="004151A2" w:rsidRPr="00BE7793" w:rsidRDefault="004151A2">
            <w:pPr>
              <w:spacing w:after="0"/>
              <w:rPr>
                <w:szCs w:val="24"/>
              </w:rPr>
            </w:pPr>
          </w:p>
        </w:tc>
      </w:tr>
    </w:tbl>
    <w:p w14:paraId="5F7C5C24" w14:textId="77777777" w:rsidR="004151A2" w:rsidRPr="00BE7793" w:rsidRDefault="001E5696">
      <w:pPr>
        <w:spacing w:before="25" w:after="0"/>
        <w:jc w:val="center"/>
        <w:rPr>
          <w:szCs w:val="24"/>
        </w:rPr>
      </w:pPr>
      <w:r w:rsidRPr="00BE7793">
        <w:rPr>
          <w:b/>
          <w:color w:val="000000"/>
          <w:szCs w:val="24"/>
        </w:rPr>
        <w:t>PROSPEKT INFORMACYJNY</w:t>
      </w:r>
    </w:p>
    <w:p w14:paraId="65337CF4" w14:textId="77777777" w:rsidR="00CB65D7" w:rsidRPr="00BE7793" w:rsidRDefault="00CB65D7">
      <w:pPr>
        <w:spacing w:before="25" w:after="0"/>
        <w:jc w:val="both"/>
        <w:rPr>
          <w:b/>
          <w:color w:val="000000"/>
          <w:szCs w:val="24"/>
        </w:rPr>
      </w:pPr>
    </w:p>
    <w:p w14:paraId="40E7ADEA" w14:textId="1BC810A6" w:rsidR="004151A2" w:rsidRPr="00BE7793" w:rsidRDefault="001E5696">
      <w:pPr>
        <w:spacing w:before="25" w:after="0"/>
        <w:jc w:val="both"/>
        <w:rPr>
          <w:szCs w:val="24"/>
        </w:rPr>
      </w:pPr>
      <w:r w:rsidRPr="00BE7793">
        <w:rPr>
          <w:b/>
          <w:color w:val="000000"/>
          <w:szCs w:val="24"/>
        </w:rPr>
        <w:t>CZĘŚĆ OGÓLNA</w:t>
      </w:r>
    </w:p>
    <w:p w14:paraId="527B882B" w14:textId="77777777" w:rsidR="00CB65D7" w:rsidRPr="00BE7793" w:rsidRDefault="00CB65D7">
      <w:pPr>
        <w:spacing w:before="25" w:after="0"/>
        <w:jc w:val="both"/>
        <w:rPr>
          <w:b/>
          <w:color w:val="000000"/>
          <w:szCs w:val="24"/>
        </w:rPr>
      </w:pPr>
    </w:p>
    <w:p w14:paraId="1307C5DF" w14:textId="034D95E1" w:rsidR="004151A2" w:rsidRPr="00BE7793" w:rsidRDefault="001E5696">
      <w:pPr>
        <w:spacing w:before="25" w:after="0"/>
        <w:jc w:val="both"/>
        <w:rPr>
          <w:szCs w:val="24"/>
        </w:rPr>
      </w:pPr>
      <w:r w:rsidRPr="00BE7793">
        <w:rPr>
          <w:b/>
          <w:color w:val="000000"/>
          <w:szCs w:val="24"/>
        </w:rPr>
        <w:t>I. DANE IDENTYFIKACYJNE I KONTAKTOWE DOTYCZĄCE DEWELOPERA</w:t>
      </w:r>
    </w:p>
    <w:p w14:paraId="2C3ECA03" w14:textId="18272CE0" w:rsidR="004151A2" w:rsidRPr="00BE7793" w:rsidRDefault="004151A2">
      <w:pPr>
        <w:spacing w:before="25" w:after="0"/>
        <w:jc w:val="both"/>
        <w:rPr>
          <w:szCs w:val="24"/>
        </w:rPr>
      </w:pPr>
    </w:p>
    <w:tbl>
      <w:tblPr>
        <w:tblW w:w="10632" w:type="dxa"/>
        <w:tblCellSpacing w:w="0" w:type="auto"/>
        <w:tblInd w:w="-71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13"/>
        <w:gridCol w:w="2683"/>
        <w:gridCol w:w="4136"/>
      </w:tblGrid>
      <w:tr w:rsidR="004151A2" w:rsidRPr="00BE7793" w14:paraId="373D0C50" w14:textId="77777777" w:rsidTr="004D6D7A">
        <w:trPr>
          <w:trHeight w:val="45"/>
          <w:tblCellSpacing w:w="0" w:type="auto"/>
        </w:trPr>
        <w:tc>
          <w:tcPr>
            <w:tcW w:w="10632" w:type="dxa"/>
            <w:gridSpan w:val="3"/>
            <w:tcBorders>
              <w:bottom w:val="single" w:sz="8" w:space="0" w:color="000000"/>
              <w:right w:val="single" w:sz="8" w:space="0" w:color="000000"/>
            </w:tcBorders>
            <w:tcMar>
              <w:top w:w="15" w:type="dxa"/>
              <w:left w:w="15" w:type="dxa"/>
              <w:bottom w:w="15" w:type="dxa"/>
              <w:right w:w="15" w:type="dxa"/>
            </w:tcMar>
            <w:vAlign w:val="center"/>
          </w:tcPr>
          <w:p w14:paraId="7FD8B24C" w14:textId="77777777" w:rsidR="004151A2" w:rsidRPr="00BE7793" w:rsidRDefault="001E5696">
            <w:pPr>
              <w:spacing w:after="0"/>
              <w:rPr>
                <w:szCs w:val="24"/>
              </w:rPr>
            </w:pPr>
            <w:r w:rsidRPr="00BE7793">
              <w:rPr>
                <w:b/>
                <w:color w:val="000000"/>
                <w:szCs w:val="24"/>
              </w:rPr>
              <w:t>DANE DEWELOPERA</w:t>
            </w:r>
          </w:p>
        </w:tc>
      </w:tr>
      <w:tr w:rsidR="004151A2" w:rsidRPr="00BE7793" w14:paraId="6BE9267F"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3C0E38E5" w14:textId="77777777" w:rsidR="004151A2" w:rsidRPr="00BE7793" w:rsidRDefault="001E5696">
            <w:pPr>
              <w:spacing w:after="0"/>
              <w:rPr>
                <w:szCs w:val="24"/>
              </w:rPr>
            </w:pPr>
            <w:r w:rsidRPr="00BE7793">
              <w:rPr>
                <w:color w:val="000000"/>
                <w:szCs w:val="24"/>
              </w:rPr>
              <w:t>Deweloper</w:t>
            </w:r>
          </w:p>
        </w:tc>
        <w:tc>
          <w:tcPr>
            <w:tcW w:w="6819" w:type="dxa"/>
            <w:gridSpan w:val="2"/>
            <w:tcBorders>
              <w:bottom w:val="single" w:sz="8" w:space="0" w:color="000000"/>
              <w:right w:val="single" w:sz="8" w:space="0" w:color="000000"/>
            </w:tcBorders>
            <w:tcMar>
              <w:top w:w="15" w:type="dxa"/>
              <w:left w:w="15" w:type="dxa"/>
              <w:bottom w:w="15" w:type="dxa"/>
              <w:right w:w="15" w:type="dxa"/>
            </w:tcMar>
            <w:vAlign w:val="center"/>
          </w:tcPr>
          <w:p w14:paraId="08A98F3F" w14:textId="48D8A3E0" w:rsidR="004151A2" w:rsidRPr="00BE7793" w:rsidRDefault="00E4262B">
            <w:pPr>
              <w:spacing w:after="0"/>
              <w:rPr>
                <w:szCs w:val="24"/>
              </w:rPr>
            </w:pPr>
            <w:r w:rsidRPr="00BE7793">
              <w:rPr>
                <w:iCs/>
                <w:szCs w:val="24"/>
              </w:rPr>
              <w:t>Przedsiębiorstwo Budowlane SZYMICHOWSKI Sp. z o.o.</w:t>
            </w:r>
          </w:p>
        </w:tc>
      </w:tr>
      <w:tr w:rsidR="004151A2" w:rsidRPr="00BE7793" w14:paraId="43D9A160"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6A76C255" w14:textId="77777777" w:rsidR="004151A2" w:rsidRPr="00BE7793" w:rsidRDefault="001E5696">
            <w:pPr>
              <w:spacing w:after="0"/>
              <w:rPr>
                <w:szCs w:val="24"/>
              </w:rPr>
            </w:pPr>
            <w:r w:rsidRPr="00BE7793">
              <w:rPr>
                <w:color w:val="000000"/>
                <w:szCs w:val="24"/>
              </w:rPr>
              <w:t>Adres</w:t>
            </w:r>
          </w:p>
        </w:tc>
        <w:tc>
          <w:tcPr>
            <w:tcW w:w="6819" w:type="dxa"/>
            <w:gridSpan w:val="2"/>
            <w:tcBorders>
              <w:bottom w:val="single" w:sz="8" w:space="0" w:color="000000"/>
              <w:right w:val="single" w:sz="8" w:space="0" w:color="000000"/>
            </w:tcBorders>
            <w:tcMar>
              <w:top w:w="15" w:type="dxa"/>
              <w:left w:w="15" w:type="dxa"/>
              <w:bottom w:w="15" w:type="dxa"/>
              <w:right w:w="15" w:type="dxa"/>
            </w:tcMar>
            <w:vAlign w:val="center"/>
          </w:tcPr>
          <w:p w14:paraId="690A1BCE" w14:textId="263F5BC7" w:rsidR="004151A2" w:rsidRPr="00BE7793" w:rsidRDefault="00E4262B">
            <w:pPr>
              <w:spacing w:after="0"/>
              <w:rPr>
                <w:szCs w:val="24"/>
              </w:rPr>
            </w:pPr>
            <w:r w:rsidRPr="00BE7793">
              <w:rPr>
                <w:szCs w:val="24"/>
              </w:rPr>
              <w:t>ul. Świerkowa 26, 83-307 Kiełpino</w:t>
            </w:r>
          </w:p>
        </w:tc>
      </w:tr>
      <w:tr w:rsidR="00E4262B" w:rsidRPr="00BE7793" w14:paraId="70233D80"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0F10BD2A" w14:textId="77777777" w:rsidR="00E4262B" w:rsidRPr="00BE7793" w:rsidRDefault="00E4262B" w:rsidP="00E4262B">
            <w:pPr>
              <w:spacing w:after="0"/>
              <w:rPr>
                <w:szCs w:val="24"/>
              </w:rPr>
            </w:pPr>
            <w:r w:rsidRPr="00BE7793">
              <w:rPr>
                <w:color w:val="000000"/>
                <w:szCs w:val="24"/>
              </w:rPr>
              <w:t>Numer NIP i REGON</w:t>
            </w:r>
          </w:p>
        </w:tc>
        <w:tc>
          <w:tcPr>
            <w:tcW w:w="2683" w:type="dxa"/>
            <w:tcBorders>
              <w:bottom w:val="single" w:sz="8" w:space="0" w:color="000000"/>
              <w:right w:val="single" w:sz="8" w:space="0" w:color="000000"/>
            </w:tcBorders>
            <w:tcMar>
              <w:top w:w="15" w:type="dxa"/>
              <w:left w:w="15" w:type="dxa"/>
              <w:bottom w:w="15" w:type="dxa"/>
              <w:right w:w="15" w:type="dxa"/>
            </w:tcMar>
          </w:tcPr>
          <w:p w14:paraId="25282227" w14:textId="77777777" w:rsidR="00E4262B" w:rsidRPr="00BE7793" w:rsidRDefault="00E4262B" w:rsidP="00E4262B">
            <w:pPr>
              <w:spacing w:beforeLines="60" w:before="144" w:afterLines="60" w:after="144" w:line="240" w:lineRule="auto"/>
              <w:jc w:val="both"/>
              <w:rPr>
                <w:szCs w:val="24"/>
              </w:rPr>
            </w:pPr>
            <w:r w:rsidRPr="00BE7793">
              <w:rPr>
                <w:szCs w:val="24"/>
              </w:rPr>
              <w:t>(NIP)</w:t>
            </w:r>
          </w:p>
          <w:p w14:paraId="1035AD35" w14:textId="0FB2F47C" w:rsidR="00E4262B" w:rsidRPr="00BE7793" w:rsidRDefault="00E4262B" w:rsidP="00E4262B">
            <w:pPr>
              <w:spacing w:after="0"/>
              <w:rPr>
                <w:szCs w:val="24"/>
              </w:rPr>
            </w:pPr>
            <w:r w:rsidRPr="00BE7793">
              <w:rPr>
                <w:szCs w:val="24"/>
              </w:rPr>
              <w:t>589-207-22-69</w:t>
            </w:r>
          </w:p>
        </w:tc>
        <w:tc>
          <w:tcPr>
            <w:tcW w:w="4136" w:type="dxa"/>
            <w:tcBorders>
              <w:bottom w:val="single" w:sz="8" w:space="0" w:color="000000"/>
              <w:right w:val="single" w:sz="8" w:space="0" w:color="000000"/>
            </w:tcBorders>
            <w:tcMar>
              <w:top w:w="15" w:type="dxa"/>
              <w:left w:w="15" w:type="dxa"/>
              <w:bottom w:w="15" w:type="dxa"/>
              <w:right w:w="15" w:type="dxa"/>
            </w:tcMar>
            <w:vAlign w:val="center"/>
          </w:tcPr>
          <w:p w14:paraId="0B4DC078" w14:textId="77777777" w:rsidR="00E4262B" w:rsidRPr="00BE7793" w:rsidRDefault="00E4262B" w:rsidP="00E4262B">
            <w:pPr>
              <w:spacing w:beforeLines="60" w:before="144" w:afterLines="60" w:after="144" w:line="240" w:lineRule="auto"/>
              <w:jc w:val="both"/>
              <w:rPr>
                <w:szCs w:val="24"/>
              </w:rPr>
            </w:pPr>
            <w:r w:rsidRPr="00BE7793">
              <w:rPr>
                <w:szCs w:val="24"/>
              </w:rPr>
              <w:t>(REGON)</w:t>
            </w:r>
          </w:p>
          <w:p w14:paraId="76427F86" w14:textId="40DD7A4F" w:rsidR="00E4262B" w:rsidRPr="00BE7793" w:rsidRDefault="00E4262B" w:rsidP="00E4262B">
            <w:pPr>
              <w:spacing w:after="0"/>
              <w:rPr>
                <w:szCs w:val="24"/>
              </w:rPr>
            </w:pPr>
            <w:r w:rsidRPr="00BE7793">
              <w:rPr>
                <w:szCs w:val="24"/>
              </w:rPr>
              <w:t>521649467</w:t>
            </w:r>
          </w:p>
        </w:tc>
      </w:tr>
      <w:tr w:rsidR="00E4262B" w:rsidRPr="00BE7793" w14:paraId="05B715E1"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12FB413A" w14:textId="77777777" w:rsidR="00E4262B" w:rsidRPr="00BE7793" w:rsidRDefault="00E4262B" w:rsidP="00E4262B">
            <w:pPr>
              <w:spacing w:after="0"/>
              <w:rPr>
                <w:szCs w:val="24"/>
              </w:rPr>
            </w:pPr>
            <w:r w:rsidRPr="00BE7793">
              <w:rPr>
                <w:color w:val="000000"/>
                <w:szCs w:val="24"/>
              </w:rPr>
              <w:t>Numer telefonu</w:t>
            </w:r>
          </w:p>
        </w:tc>
        <w:tc>
          <w:tcPr>
            <w:tcW w:w="6819" w:type="dxa"/>
            <w:gridSpan w:val="2"/>
            <w:tcBorders>
              <w:bottom w:val="single" w:sz="8" w:space="0" w:color="000000"/>
              <w:right w:val="single" w:sz="8" w:space="0" w:color="000000"/>
            </w:tcBorders>
            <w:tcMar>
              <w:top w:w="15" w:type="dxa"/>
              <w:left w:w="15" w:type="dxa"/>
              <w:bottom w:w="15" w:type="dxa"/>
              <w:right w:w="15" w:type="dxa"/>
            </w:tcMar>
          </w:tcPr>
          <w:p w14:paraId="4C020CEF" w14:textId="1C17BBB8" w:rsidR="00E4262B" w:rsidRPr="00BE7793" w:rsidRDefault="00E4262B" w:rsidP="00E4262B">
            <w:pPr>
              <w:rPr>
                <w:szCs w:val="24"/>
              </w:rPr>
            </w:pPr>
            <w:r w:rsidRPr="00BE7793">
              <w:rPr>
                <w:szCs w:val="24"/>
              </w:rPr>
              <w:t>509-127-664, 509-127-754</w:t>
            </w:r>
          </w:p>
        </w:tc>
      </w:tr>
      <w:tr w:rsidR="00E4262B" w:rsidRPr="00BE7793" w14:paraId="0396C616" w14:textId="77777777" w:rsidTr="004D6D7A">
        <w:trPr>
          <w:trHeight w:val="753"/>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5BCEFF2D" w14:textId="77777777" w:rsidR="00E4262B" w:rsidRPr="00BE7793" w:rsidRDefault="00E4262B" w:rsidP="00E4262B">
            <w:pPr>
              <w:spacing w:after="0"/>
              <w:rPr>
                <w:szCs w:val="24"/>
              </w:rPr>
            </w:pPr>
            <w:r w:rsidRPr="00BE7793">
              <w:rPr>
                <w:color w:val="000000"/>
                <w:szCs w:val="24"/>
              </w:rPr>
              <w:t>Adres poczty elektronicznej</w:t>
            </w:r>
          </w:p>
        </w:tc>
        <w:tc>
          <w:tcPr>
            <w:tcW w:w="6819" w:type="dxa"/>
            <w:gridSpan w:val="2"/>
            <w:tcBorders>
              <w:bottom w:val="single" w:sz="8" w:space="0" w:color="000000"/>
              <w:right w:val="single" w:sz="8" w:space="0" w:color="000000"/>
            </w:tcBorders>
            <w:tcMar>
              <w:top w:w="15" w:type="dxa"/>
              <w:left w:w="15" w:type="dxa"/>
              <w:bottom w:w="15" w:type="dxa"/>
              <w:right w:w="15" w:type="dxa"/>
            </w:tcMar>
            <w:vAlign w:val="center"/>
          </w:tcPr>
          <w:p w14:paraId="2F204228" w14:textId="0B370352" w:rsidR="00E4262B" w:rsidRPr="00BE7793" w:rsidRDefault="00E4262B" w:rsidP="00E4262B">
            <w:pPr>
              <w:rPr>
                <w:szCs w:val="24"/>
              </w:rPr>
            </w:pPr>
            <w:r w:rsidRPr="00BE7793">
              <w:rPr>
                <w:szCs w:val="24"/>
              </w:rPr>
              <w:t>sprzedaz.mieszkan@szymichowski.pl</w:t>
            </w:r>
            <w:r w:rsidRPr="00BE7793">
              <w:rPr>
                <w:szCs w:val="24"/>
              </w:rPr>
              <w:br/>
              <w:t>biuro@szymichowski.pl</w:t>
            </w:r>
          </w:p>
        </w:tc>
      </w:tr>
      <w:tr w:rsidR="00E4262B" w:rsidRPr="00BE7793" w14:paraId="77E32E33"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4A39ED65" w14:textId="77777777" w:rsidR="00E4262B" w:rsidRPr="00BE7793" w:rsidRDefault="00E4262B" w:rsidP="00E4262B">
            <w:pPr>
              <w:spacing w:after="0"/>
              <w:rPr>
                <w:szCs w:val="24"/>
              </w:rPr>
            </w:pPr>
            <w:r w:rsidRPr="00BE7793">
              <w:rPr>
                <w:color w:val="000000"/>
                <w:szCs w:val="24"/>
              </w:rPr>
              <w:t>Numer faksu</w:t>
            </w:r>
          </w:p>
        </w:tc>
        <w:tc>
          <w:tcPr>
            <w:tcW w:w="6819" w:type="dxa"/>
            <w:gridSpan w:val="2"/>
            <w:tcBorders>
              <w:bottom w:val="single" w:sz="8" w:space="0" w:color="000000"/>
              <w:right w:val="single" w:sz="8" w:space="0" w:color="000000"/>
            </w:tcBorders>
            <w:tcMar>
              <w:top w:w="15" w:type="dxa"/>
              <w:left w:w="15" w:type="dxa"/>
              <w:bottom w:w="15" w:type="dxa"/>
              <w:right w:w="15" w:type="dxa"/>
            </w:tcMar>
          </w:tcPr>
          <w:p w14:paraId="2B550666" w14:textId="2754E8DC" w:rsidR="00E4262B" w:rsidRPr="00BE7793" w:rsidRDefault="00E4262B" w:rsidP="00E4262B">
            <w:pPr>
              <w:rPr>
                <w:szCs w:val="24"/>
              </w:rPr>
            </w:pPr>
            <w:r w:rsidRPr="00BE7793">
              <w:rPr>
                <w:szCs w:val="24"/>
              </w:rPr>
              <w:t>Nie dotyczy</w:t>
            </w:r>
          </w:p>
        </w:tc>
      </w:tr>
      <w:tr w:rsidR="00E4262B" w:rsidRPr="00BE7793" w14:paraId="368D8A10" w14:textId="77777777" w:rsidTr="004D6D7A">
        <w:trPr>
          <w:trHeight w:val="45"/>
          <w:tblCellSpacing w:w="0" w:type="auto"/>
        </w:trPr>
        <w:tc>
          <w:tcPr>
            <w:tcW w:w="3813" w:type="dxa"/>
            <w:tcBorders>
              <w:bottom w:val="single" w:sz="8" w:space="0" w:color="000000"/>
              <w:right w:val="single" w:sz="8" w:space="0" w:color="000000"/>
            </w:tcBorders>
            <w:tcMar>
              <w:top w:w="15" w:type="dxa"/>
              <w:left w:w="15" w:type="dxa"/>
              <w:bottom w:w="15" w:type="dxa"/>
              <w:right w:w="15" w:type="dxa"/>
            </w:tcMar>
            <w:vAlign w:val="center"/>
          </w:tcPr>
          <w:p w14:paraId="61704EBD" w14:textId="77777777" w:rsidR="00E4262B" w:rsidRPr="00BE7793" w:rsidRDefault="00E4262B" w:rsidP="00E4262B">
            <w:pPr>
              <w:spacing w:after="0"/>
              <w:rPr>
                <w:szCs w:val="24"/>
              </w:rPr>
            </w:pPr>
            <w:r w:rsidRPr="00BE7793">
              <w:rPr>
                <w:color w:val="000000"/>
                <w:szCs w:val="24"/>
              </w:rPr>
              <w:t>Adres strony internetowej dewelopera</w:t>
            </w:r>
          </w:p>
        </w:tc>
        <w:tc>
          <w:tcPr>
            <w:tcW w:w="6819" w:type="dxa"/>
            <w:gridSpan w:val="2"/>
            <w:tcBorders>
              <w:bottom w:val="single" w:sz="8" w:space="0" w:color="000000"/>
              <w:right w:val="single" w:sz="8" w:space="0" w:color="000000"/>
            </w:tcBorders>
            <w:tcMar>
              <w:top w:w="15" w:type="dxa"/>
              <w:left w:w="15" w:type="dxa"/>
              <w:bottom w:w="15" w:type="dxa"/>
              <w:right w:w="15" w:type="dxa"/>
            </w:tcMar>
            <w:vAlign w:val="center"/>
          </w:tcPr>
          <w:p w14:paraId="2C899E60" w14:textId="6BA29ABE" w:rsidR="00E4262B" w:rsidRPr="00BE7793" w:rsidRDefault="00E4262B" w:rsidP="00E4262B">
            <w:pPr>
              <w:rPr>
                <w:szCs w:val="24"/>
              </w:rPr>
            </w:pPr>
            <w:r w:rsidRPr="00BE7793">
              <w:rPr>
                <w:szCs w:val="24"/>
              </w:rPr>
              <w:t>www.szymichowski.pl</w:t>
            </w:r>
          </w:p>
        </w:tc>
      </w:tr>
    </w:tbl>
    <w:p w14:paraId="368E9F4F" w14:textId="77777777" w:rsidR="00E4262B" w:rsidRPr="00BE7793" w:rsidRDefault="00E4262B">
      <w:pPr>
        <w:spacing w:before="25" w:after="0"/>
        <w:jc w:val="both"/>
        <w:rPr>
          <w:b/>
          <w:color w:val="000000"/>
          <w:szCs w:val="24"/>
        </w:rPr>
      </w:pPr>
    </w:p>
    <w:p w14:paraId="6EF662B3" w14:textId="100114FB" w:rsidR="004151A2" w:rsidRPr="00BE7793" w:rsidRDefault="00E4262B">
      <w:pPr>
        <w:spacing w:before="25" w:after="0"/>
        <w:jc w:val="both"/>
        <w:rPr>
          <w:b/>
          <w:color w:val="000000"/>
          <w:szCs w:val="24"/>
        </w:rPr>
      </w:pPr>
      <w:r w:rsidRPr="00BE7793">
        <w:rPr>
          <w:b/>
          <w:color w:val="000000"/>
          <w:szCs w:val="24"/>
        </w:rPr>
        <w:t>II. DOŚWIADCZENIE DEWELOPERA</w:t>
      </w:r>
    </w:p>
    <w:p w14:paraId="673E3EC2" w14:textId="77777777" w:rsidR="00E4262B" w:rsidRPr="00BE7793" w:rsidRDefault="00E4262B">
      <w:pPr>
        <w:spacing w:before="25" w:after="0"/>
        <w:jc w:val="both"/>
        <w:rPr>
          <w:szCs w:val="24"/>
        </w:rPr>
      </w:pPr>
    </w:p>
    <w:tbl>
      <w:tblPr>
        <w:tblW w:w="10490" w:type="dxa"/>
        <w:tblCellSpacing w:w="0" w:type="auto"/>
        <w:tblInd w:w="-71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66"/>
        <w:gridCol w:w="6024"/>
      </w:tblGrid>
      <w:tr w:rsidR="004151A2" w:rsidRPr="00BE7793" w14:paraId="01D24E78" w14:textId="77777777" w:rsidTr="004D6D7A">
        <w:trPr>
          <w:trHeight w:val="45"/>
          <w:tblCellSpacing w:w="0" w:type="auto"/>
        </w:trPr>
        <w:tc>
          <w:tcPr>
            <w:tcW w:w="10490" w:type="dxa"/>
            <w:gridSpan w:val="2"/>
            <w:tcBorders>
              <w:bottom w:val="single" w:sz="8" w:space="0" w:color="000000"/>
              <w:right w:val="single" w:sz="8" w:space="0" w:color="000000"/>
            </w:tcBorders>
            <w:tcMar>
              <w:top w:w="15" w:type="dxa"/>
              <w:left w:w="15" w:type="dxa"/>
              <w:bottom w:w="15" w:type="dxa"/>
              <w:right w:w="15" w:type="dxa"/>
            </w:tcMar>
            <w:vAlign w:val="center"/>
          </w:tcPr>
          <w:p w14:paraId="7D355387" w14:textId="77777777" w:rsidR="004151A2" w:rsidRPr="00BE7793" w:rsidRDefault="001E5696">
            <w:pPr>
              <w:spacing w:after="0"/>
              <w:rPr>
                <w:szCs w:val="24"/>
              </w:rPr>
            </w:pPr>
            <w:r w:rsidRPr="00BE7793">
              <w:rPr>
                <w:b/>
                <w:color w:val="000000"/>
                <w:szCs w:val="24"/>
              </w:rPr>
              <w:t>HISTORIA I UDOKUMENTOWANE</w:t>
            </w:r>
          </w:p>
        </w:tc>
      </w:tr>
      <w:tr w:rsidR="004151A2" w:rsidRPr="00BE7793" w14:paraId="65F2E013" w14:textId="77777777" w:rsidTr="004D6D7A">
        <w:trPr>
          <w:trHeight w:val="45"/>
          <w:tblCellSpacing w:w="0" w:type="auto"/>
        </w:trPr>
        <w:tc>
          <w:tcPr>
            <w:tcW w:w="10490" w:type="dxa"/>
            <w:gridSpan w:val="2"/>
            <w:tcBorders>
              <w:bottom w:val="single" w:sz="8" w:space="0" w:color="000000"/>
              <w:right w:val="single" w:sz="8" w:space="0" w:color="000000"/>
            </w:tcBorders>
            <w:tcMar>
              <w:top w:w="15" w:type="dxa"/>
              <w:left w:w="15" w:type="dxa"/>
              <w:bottom w:w="15" w:type="dxa"/>
              <w:right w:w="15" w:type="dxa"/>
            </w:tcMar>
            <w:vAlign w:val="center"/>
          </w:tcPr>
          <w:p w14:paraId="7C18FEC6" w14:textId="77777777" w:rsidR="004151A2" w:rsidRPr="00BE7793" w:rsidRDefault="001E5696">
            <w:pPr>
              <w:spacing w:after="0"/>
              <w:rPr>
                <w:szCs w:val="24"/>
              </w:rPr>
            </w:pPr>
            <w:r w:rsidRPr="00BE7793">
              <w:rPr>
                <w:b/>
                <w:color w:val="000000"/>
                <w:szCs w:val="24"/>
              </w:rPr>
              <w:t>PRZYKŁAD UKOŃCZONEGO PRZEDSIĘWZIĘCIA DEWELOPERSKIEGO (należy wskazać, o ile istnieją, trzy ukończone przedsięwzięcia deweloperskie, w tym ostatnie)</w:t>
            </w:r>
          </w:p>
        </w:tc>
      </w:tr>
      <w:tr w:rsidR="004151A2" w:rsidRPr="00BE7793" w14:paraId="5CFC6BB8"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318B2A45" w14:textId="77777777" w:rsidR="004151A2" w:rsidRPr="00BE7793" w:rsidRDefault="001E5696">
            <w:pPr>
              <w:spacing w:after="0"/>
              <w:rPr>
                <w:szCs w:val="24"/>
              </w:rPr>
            </w:pPr>
            <w:r w:rsidRPr="00BE7793">
              <w:rPr>
                <w:color w:val="000000"/>
                <w:szCs w:val="24"/>
              </w:rPr>
              <w:t>Adres</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42E16C16" w14:textId="428F55CA" w:rsidR="004151A2" w:rsidRPr="00BE7793" w:rsidRDefault="00E4262B">
            <w:pPr>
              <w:rPr>
                <w:szCs w:val="24"/>
              </w:rPr>
            </w:pPr>
            <w:r w:rsidRPr="00BE7793">
              <w:rPr>
                <w:szCs w:val="24"/>
              </w:rPr>
              <w:t>Wróblewskiego 9 i 11, 83-000 Pruszcz Gdański</w:t>
            </w:r>
          </w:p>
        </w:tc>
      </w:tr>
      <w:tr w:rsidR="00E4262B" w:rsidRPr="00BE7793" w14:paraId="2571E787" w14:textId="77777777" w:rsidTr="004D6D7A">
        <w:trPr>
          <w:trHeight w:val="393"/>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5ABD68FA" w14:textId="77777777" w:rsidR="00E4262B" w:rsidRPr="00BE7793" w:rsidRDefault="00E4262B" w:rsidP="00E4262B">
            <w:pPr>
              <w:spacing w:after="0"/>
              <w:rPr>
                <w:szCs w:val="24"/>
              </w:rPr>
            </w:pPr>
            <w:r w:rsidRPr="00BE7793">
              <w:rPr>
                <w:color w:val="000000"/>
                <w:szCs w:val="24"/>
              </w:rPr>
              <w:t>Data rozpoczęcia</w:t>
            </w:r>
          </w:p>
        </w:tc>
        <w:tc>
          <w:tcPr>
            <w:tcW w:w="6024" w:type="dxa"/>
            <w:tcBorders>
              <w:bottom w:val="single" w:sz="8" w:space="0" w:color="000000"/>
              <w:right w:val="single" w:sz="8" w:space="0" w:color="000000"/>
            </w:tcBorders>
            <w:tcMar>
              <w:top w:w="15" w:type="dxa"/>
              <w:left w:w="15" w:type="dxa"/>
              <w:bottom w:w="15" w:type="dxa"/>
              <w:right w:w="15" w:type="dxa"/>
            </w:tcMar>
          </w:tcPr>
          <w:p w14:paraId="2F7137AE" w14:textId="7363DD18" w:rsidR="00E4262B" w:rsidRPr="00BE7793" w:rsidRDefault="00E4262B" w:rsidP="00E4262B">
            <w:pPr>
              <w:rPr>
                <w:szCs w:val="24"/>
              </w:rPr>
            </w:pPr>
            <w:r w:rsidRPr="00BE7793">
              <w:rPr>
                <w:szCs w:val="24"/>
              </w:rPr>
              <w:t>12.12.2017 r.</w:t>
            </w:r>
          </w:p>
        </w:tc>
      </w:tr>
      <w:tr w:rsidR="00E4262B" w:rsidRPr="00BE7793" w14:paraId="5651BA6F"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1DCBED4D" w14:textId="77777777" w:rsidR="00E4262B" w:rsidRPr="00BE7793" w:rsidRDefault="00E4262B" w:rsidP="00E4262B">
            <w:pPr>
              <w:spacing w:after="0"/>
              <w:rPr>
                <w:szCs w:val="24"/>
              </w:rPr>
            </w:pPr>
            <w:r w:rsidRPr="00BE7793">
              <w:rPr>
                <w:color w:val="000000"/>
                <w:szCs w:val="24"/>
              </w:rPr>
              <w:t>Data wydania decyzji o pozwoleniu na użytkowanie</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335B72D9" w14:textId="19FD7314" w:rsidR="00E4262B" w:rsidRPr="00BE7793" w:rsidRDefault="00E4262B" w:rsidP="00E4262B">
            <w:pPr>
              <w:rPr>
                <w:szCs w:val="24"/>
              </w:rPr>
            </w:pPr>
            <w:r w:rsidRPr="00BE7793">
              <w:rPr>
                <w:szCs w:val="24"/>
              </w:rPr>
              <w:t>17.07.2018 r.</w:t>
            </w:r>
          </w:p>
        </w:tc>
      </w:tr>
      <w:tr w:rsidR="00E4262B" w:rsidRPr="00BE7793" w14:paraId="394380B2" w14:textId="77777777" w:rsidTr="004D6D7A">
        <w:trPr>
          <w:trHeight w:val="45"/>
          <w:tblCellSpacing w:w="0" w:type="auto"/>
        </w:trPr>
        <w:tc>
          <w:tcPr>
            <w:tcW w:w="10490" w:type="dxa"/>
            <w:gridSpan w:val="2"/>
            <w:tcBorders>
              <w:bottom w:val="single" w:sz="8" w:space="0" w:color="000000"/>
              <w:right w:val="single" w:sz="8" w:space="0" w:color="000000"/>
            </w:tcBorders>
            <w:tcMar>
              <w:top w:w="15" w:type="dxa"/>
              <w:left w:w="15" w:type="dxa"/>
              <w:bottom w:w="15" w:type="dxa"/>
              <w:right w:w="15" w:type="dxa"/>
            </w:tcMar>
            <w:vAlign w:val="center"/>
          </w:tcPr>
          <w:p w14:paraId="186A18BB" w14:textId="77777777" w:rsidR="00E4262B" w:rsidRPr="00BE7793" w:rsidRDefault="00E4262B" w:rsidP="00E4262B">
            <w:pPr>
              <w:spacing w:after="0"/>
              <w:rPr>
                <w:szCs w:val="24"/>
              </w:rPr>
            </w:pPr>
            <w:r w:rsidRPr="00BE7793">
              <w:rPr>
                <w:b/>
                <w:color w:val="000000"/>
                <w:szCs w:val="24"/>
              </w:rPr>
              <w:t>PRZYKŁAD INNEGO UKOŃCZONEGO PRZEDSIĘWZIĘCIA DEWELOPERSKIEGO</w:t>
            </w:r>
          </w:p>
        </w:tc>
      </w:tr>
      <w:tr w:rsidR="00E4262B" w:rsidRPr="00BE7793" w14:paraId="2B736417"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6DAD006E" w14:textId="77777777" w:rsidR="00E4262B" w:rsidRPr="00BE7793" w:rsidRDefault="00E4262B" w:rsidP="00E4262B">
            <w:pPr>
              <w:spacing w:after="0"/>
              <w:rPr>
                <w:szCs w:val="24"/>
              </w:rPr>
            </w:pPr>
            <w:r w:rsidRPr="00BE7793">
              <w:rPr>
                <w:color w:val="000000"/>
                <w:szCs w:val="24"/>
              </w:rPr>
              <w:t>Adres</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20F67F03" w14:textId="71C703CB" w:rsidR="00E4262B" w:rsidRPr="00BE7793" w:rsidRDefault="00E4262B" w:rsidP="00E4262B">
            <w:pPr>
              <w:rPr>
                <w:szCs w:val="24"/>
              </w:rPr>
            </w:pPr>
            <w:r w:rsidRPr="00BE7793">
              <w:rPr>
                <w:szCs w:val="24"/>
              </w:rPr>
              <w:t>Arctowskiego 2, 83-000 Pruszcz Gdański</w:t>
            </w:r>
          </w:p>
        </w:tc>
      </w:tr>
      <w:tr w:rsidR="00E4262B" w:rsidRPr="00BE7793" w14:paraId="3EF0DB36"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04D3A392" w14:textId="77777777" w:rsidR="00E4262B" w:rsidRPr="00BE7793" w:rsidRDefault="00E4262B" w:rsidP="00E4262B">
            <w:pPr>
              <w:spacing w:after="0"/>
              <w:rPr>
                <w:szCs w:val="24"/>
              </w:rPr>
            </w:pPr>
            <w:r w:rsidRPr="00BE7793">
              <w:rPr>
                <w:color w:val="000000"/>
                <w:szCs w:val="24"/>
              </w:rPr>
              <w:t>Data rozpoczęcia</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4636CA04" w14:textId="5B6496DC" w:rsidR="00E4262B" w:rsidRPr="00BE7793" w:rsidRDefault="00E4262B" w:rsidP="00E4262B">
            <w:pPr>
              <w:rPr>
                <w:szCs w:val="24"/>
              </w:rPr>
            </w:pPr>
            <w:r w:rsidRPr="00BE7793">
              <w:rPr>
                <w:szCs w:val="24"/>
              </w:rPr>
              <w:t>maj 2019 r.</w:t>
            </w:r>
            <w:r w:rsidRPr="00BE7793">
              <w:rPr>
                <w:szCs w:val="24"/>
              </w:rPr>
              <w:tab/>
            </w:r>
          </w:p>
        </w:tc>
      </w:tr>
      <w:tr w:rsidR="00E4262B" w:rsidRPr="00BE7793" w14:paraId="0CE1BE16"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391685B4" w14:textId="77777777" w:rsidR="00E4262B" w:rsidRPr="00BE7793" w:rsidRDefault="00E4262B" w:rsidP="00E4262B">
            <w:pPr>
              <w:spacing w:after="0"/>
              <w:rPr>
                <w:szCs w:val="24"/>
              </w:rPr>
            </w:pPr>
            <w:r w:rsidRPr="00BE7793">
              <w:rPr>
                <w:color w:val="000000"/>
                <w:szCs w:val="24"/>
              </w:rPr>
              <w:t>Data wydania decyzji o pozwoleniu na użytkowanie</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30141120" w14:textId="2192AA24" w:rsidR="00E4262B" w:rsidRPr="00BE7793" w:rsidRDefault="00E4262B" w:rsidP="00E4262B">
            <w:pPr>
              <w:rPr>
                <w:szCs w:val="24"/>
              </w:rPr>
            </w:pPr>
            <w:r w:rsidRPr="00BE7793">
              <w:rPr>
                <w:szCs w:val="24"/>
              </w:rPr>
              <w:t>01.12.2021 r.</w:t>
            </w:r>
          </w:p>
        </w:tc>
      </w:tr>
      <w:tr w:rsidR="00E4262B" w:rsidRPr="00BE7793" w14:paraId="5A7D250C" w14:textId="77777777" w:rsidTr="004D6D7A">
        <w:trPr>
          <w:trHeight w:val="45"/>
          <w:tblCellSpacing w:w="0" w:type="auto"/>
        </w:trPr>
        <w:tc>
          <w:tcPr>
            <w:tcW w:w="10490" w:type="dxa"/>
            <w:gridSpan w:val="2"/>
            <w:tcBorders>
              <w:bottom w:val="single" w:sz="8" w:space="0" w:color="000000"/>
              <w:right w:val="single" w:sz="8" w:space="0" w:color="000000"/>
            </w:tcBorders>
            <w:tcMar>
              <w:top w:w="15" w:type="dxa"/>
              <w:left w:w="15" w:type="dxa"/>
              <w:bottom w:w="15" w:type="dxa"/>
              <w:right w:w="15" w:type="dxa"/>
            </w:tcMar>
            <w:vAlign w:val="center"/>
          </w:tcPr>
          <w:p w14:paraId="4B461414" w14:textId="77777777" w:rsidR="00E4262B" w:rsidRPr="00BE7793" w:rsidRDefault="00E4262B" w:rsidP="00E4262B">
            <w:pPr>
              <w:spacing w:after="0"/>
              <w:rPr>
                <w:szCs w:val="24"/>
              </w:rPr>
            </w:pPr>
            <w:r w:rsidRPr="00BE7793">
              <w:rPr>
                <w:b/>
                <w:color w:val="000000"/>
                <w:szCs w:val="24"/>
              </w:rPr>
              <w:t>PRZYKŁAD OSTATNIEGO UKOŃCZONEGO PRZEDSIĘWZIĘCIA DEWELOPERSKIEGO</w:t>
            </w:r>
          </w:p>
        </w:tc>
      </w:tr>
      <w:tr w:rsidR="00E4262B" w:rsidRPr="00BE7793" w14:paraId="78361A9E"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0E0318C6" w14:textId="77777777" w:rsidR="00E4262B" w:rsidRPr="00BE7793" w:rsidRDefault="00E4262B" w:rsidP="00E4262B">
            <w:pPr>
              <w:spacing w:after="0"/>
              <w:rPr>
                <w:szCs w:val="24"/>
              </w:rPr>
            </w:pPr>
            <w:r w:rsidRPr="00BE7793">
              <w:rPr>
                <w:color w:val="000000"/>
                <w:szCs w:val="24"/>
              </w:rPr>
              <w:lastRenderedPageBreak/>
              <w:t>Adres</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27DA2E7C" w14:textId="12670A97" w:rsidR="00E4262B" w:rsidRPr="00BE7793" w:rsidRDefault="00E4262B" w:rsidP="00E4262B">
            <w:pPr>
              <w:rPr>
                <w:szCs w:val="24"/>
              </w:rPr>
            </w:pPr>
            <w:r w:rsidRPr="00BE7793">
              <w:rPr>
                <w:szCs w:val="24"/>
              </w:rPr>
              <w:t>Arctowskiego 6, 83-000 Pruszcz Gdański</w:t>
            </w:r>
          </w:p>
        </w:tc>
      </w:tr>
      <w:tr w:rsidR="00E4262B" w:rsidRPr="00BE7793" w14:paraId="43524020"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4EA81BDB" w14:textId="77777777" w:rsidR="00E4262B" w:rsidRPr="00BE7793" w:rsidRDefault="00E4262B" w:rsidP="00E4262B">
            <w:pPr>
              <w:spacing w:after="0"/>
              <w:rPr>
                <w:szCs w:val="24"/>
              </w:rPr>
            </w:pPr>
            <w:r w:rsidRPr="00BE7793">
              <w:rPr>
                <w:color w:val="000000"/>
                <w:szCs w:val="24"/>
              </w:rPr>
              <w:t>Data rozpoczęcia</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22416F29" w14:textId="2366C10B" w:rsidR="00E4262B" w:rsidRPr="00BE7793" w:rsidRDefault="0063551E" w:rsidP="00E4262B">
            <w:pPr>
              <w:rPr>
                <w:szCs w:val="24"/>
              </w:rPr>
            </w:pPr>
            <w:r w:rsidRPr="00BE7793">
              <w:rPr>
                <w:szCs w:val="24"/>
              </w:rPr>
              <w:t>c</w:t>
            </w:r>
            <w:r w:rsidR="00BE27A1" w:rsidRPr="00BE7793">
              <w:rPr>
                <w:szCs w:val="24"/>
              </w:rPr>
              <w:t>zerwiec 2021 r.</w:t>
            </w:r>
          </w:p>
        </w:tc>
      </w:tr>
      <w:tr w:rsidR="00E4262B" w:rsidRPr="00BE7793" w14:paraId="1D8A14A0"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4572E95C" w14:textId="77777777" w:rsidR="00E4262B" w:rsidRPr="00BE7793" w:rsidRDefault="00E4262B" w:rsidP="00E4262B">
            <w:pPr>
              <w:spacing w:after="0"/>
              <w:rPr>
                <w:szCs w:val="24"/>
              </w:rPr>
            </w:pPr>
            <w:r w:rsidRPr="00BE7793">
              <w:rPr>
                <w:color w:val="000000"/>
                <w:szCs w:val="24"/>
              </w:rPr>
              <w:t>Data wydania decyzji o pozwoleniu na użytkowanie</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646F512D" w14:textId="576EFA02" w:rsidR="00E4262B" w:rsidRPr="00BE7793" w:rsidRDefault="00AA3699" w:rsidP="00E4262B">
            <w:pPr>
              <w:rPr>
                <w:szCs w:val="24"/>
              </w:rPr>
            </w:pPr>
            <w:r w:rsidRPr="00BE7793">
              <w:rPr>
                <w:szCs w:val="24"/>
              </w:rPr>
              <w:t>17</w:t>
            </w:r>
            <w:r w:rsidR="00E4262B" w:rsidRPr="00BE7793">
              <w:rPr>
                <w:szCs w:val="24"/>
              </w:rPr>
              <w:t>.11.2023 r.</w:t>
            </w:r>
          </w:p>
        </w:tc>
      </w:tr>
      <w:tr w:rsidR="00E4262B" w:rsidRPr="00BE7793" w14:paraId="6BE55F4E" w14:textId="77777777" w:rsidTr="004D6D7A">
        <w:trPr>
          <w:trHeight w:val="45"/>
          <w:tblCellSpacing w:w="0" w:type="auto"/>
        </w:trPr>
        <w:tc>
          <w:tcPr>
            <w:tcW w:w="4466" w:type="dxa"/>
            <w:tcBorders>
              <w:bottom w:val="single" w:sz="8" w:space="0" w:color="000000"/>
              <w:right w:val="single" w:sz="8" w:space="0" w:color="000000"/>
            </w:tcBorders>
            <w:tcMar>
              <w:top w:w="15" w:type="dxa"/>
              <w:left w:w="15" w:type="dxa"/>
              <w:bottom w:w="15" w:type="dxa"/>
              <w:right w:w="15" w:type="dxa"/>
            </w:tcMar>
            <w:vAlign w:val="center"/>
          </w:tcPr>
          <w:p w14:paraId="5545F978" w14:textId="77777777" w:rsidR="00E4262B" w:rsidRPr="00BE7793" w:rsidRDefault="00E4262B" w:rsidP="00E4262B">
            <w:pPr>
              <w:spacing w:after="0"/>
              <w:rPr>
                <w:szCs w:val="24"/>
              </w:rPr>
            </w:pPr>
            <w:r w:rsidRPr="00BE7793">
              <w:rPr>
                <w:color w:val="000000"/>
                <w:szCs w:val="24"/>
              </w:rPr>
              <w:t>Czy przeciwko deweloperowi prowadzono lub prowadzi się postępowania egzekucyjne na kwotę powyżej 100 000 zł</w:t>
            </w:r>
          </w:p>
        </w:tc>
        <w:tc>
          <w:tcPr>
            <w:tcW w:w="6024" w:type="dxa"/>
            <w:tcBorders>
              <w:bottom w:val="single" w:sz="8" w:space="0" w:color="000000"/>
              <w:right w:val="single" w:sz="8" w:space="0" w:color="000000"/>
            </w:tcBorders>
            <w:tcMar>
              <w:top w:w="15" w:type="dxa"/>
              <w:left w:w="15" w:type="dxa"/>
              <w:bottom w:w="15" w:type="dxa"/>
              <w:right w:w="15" w:type="dxa"/>
            </w:tcMar>
            <w:vAlign w:val="center"/>
          </w:tcPr>
          <w:p w14:paraId="78804509" w14:textId="4A0E2013" w:rsidR="00E4262B" w:rsidRPr="00BE7793" w:rsidRDefault="00E4262B" w:rsidP="00E4262B">
            <w:pPr>
              <w:rPr>
                <w:szCs w:val="24"/>
              </w:rPr>
            </w:pPr>
            <w:r w:rsidRPr="00BE7793">
              <w:rPr>
                <w:szCs w:val="24"/>
              </w:rPr>
              <w:t>Nie</w:t>
            </w:r>
          </w:p>
        </w:tc>
      </w:tr>
    </w:tbl>
    <w:p w14:paraId="38A0E1F2" w14:textId="77777777" w:rsidR="00E4262B" w:rsidRPr="00BE7793" w:rsidRDefault="00E4262B">
      <w:pPr>
        <w:spacing w:before="25" w:after="0"/>
        <w:jc w:val="both"/>
        <w:rPr>
          <w:b/>
          <w:color w:val="000000"/>
          <w:szCs w:val="24"/>
        </w:rPr>
      </w:pPr>
    </w:p>
    <w:p w14:paraId="5986290C" w14:textId="1AF15D9C" w:rsidR="004151A2" w:rsidRPr="00BE7793" w:rsidRDefault="001E5696">
      <w:pPr>
        <w:spacing w:before="25" w:after="0"/>
        <w:jc w:val="both"/>
        <w:rPr>
          <w:b/>
          <w:color w:val="000000"/>
          <w:szCs w:val="24"/>
        </w:rPr>
      </w:pPr>
      <w:r w:rsidRPr="00BE7793">
        <w:rPr>
          <w:b/>
          <w:color w:val="000000"/>
          <w:szCs w:val="24"/>
        </w:rPr>
        <w:t>III. INFORMACJE DOTYCZĄCE NIERUCHOMOŚCI I PRZEDSIĘWZIĘCIA DEWELOPERSKIEGO</w:t>
      </w:r>
    </w:p>
    <w:p w14:paraId="5E5BB6B6" w14:textId="77777777" w:rsidR="00E4262B" w:rsidRPr="00BE7793" w:rsidRDefault="00E4262B">
      <w:pPr>
        <w:spacing w:before="25" w:after="0"/>
        <w:jc w:val="both"/>
        <w:rPr>
          <w:szCs w:val="24"/>
        </w:rPr>
      </w:pPr>
    </w:p>
    <w:tbl>
      <w:tblPr>
        <w:tblW w:w="10490" w:type="dxa"/>
        <w:tblCellSpacing w:w="0" w:type="auto"/>
        <w:tblInd w:w="-719"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119"/>
        <w:gridCol w:w="3078"/>
        <w:gridCol w:w="774"/>
        <w:gridCol w:w="3519"/>
      </w:tblGrid>
      <w:tr w:rsidR="004151A2" w:rsidRPr="00BE7793" w14:paraId="0BB6DD68" w14:textId="77777777" w:rsidTr="00345502">
        <w:trPr>
          <w:trHeight w:val="45"/>
          <w:tblCellSpacing w:w="0" w:type="auto"/>
        </w:trPr>
        <w:tc>
          <w:tcPr>
            <w:tcW w:w="10490" w:type="dxa"/>
            <w:gridSpan w:val="4"/>
            <w:tcBorders>
              <w:bottom w:val="single" w:sz="8" w:space="0" w:color="000000"/>
              <w:right w:val="single" w:sz="8" w:space="0" w:color="000000"/>
            </w:tcBorders>
            <w:tcMar>
              <w:top w:w="15" w:type="dxa"/>
              <w:left w:w="15" w:type="dxa"/>
              <w:bottom w:w="15" w:type="dxa"/>
              <w:right w:w="15" w:type="dxa"/>
            </w:tcMar>
            <w:vAlign w:val="center"/>
          </w:tcPr>
          <w:p w14:paraId="0AE198FD" w14:textId="77777777" w:rsidR="004151A2" w:rsidRPr="00BE7793" w:rsidRDefault="001E5696">
            <w:pPr>
              <w:spacing w:after="0"/>
              <w:rPr>
                <w:szCs w:val="24"/>
              </w:rPr>
            </w:pPr>
            <w:r w:rsidRPr="00BE7793">
              <w:rPr>
                <w:b/>
                <w:color w:val="000000"/>
                <w:szCs w:val="24"/>
              </w:rPr>
              <w:t>INFORMACJE DOTYCZĄCE GRUNTU I ZAGOSPODAROWANIA PRZESTRZENNEGO TERENU</w:t>
            </w:r>
          </w:p>
        </w:tc>
      </w:tr>
      <w:tr w:rsidR="003928F8" w:rsidRPr="00BE7793" w14:paraId="4CF3443B"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01589ACE" w14:textId="77777777" w:rsidR="004151A2" w:rsidRPr="004D6D7A" w:rsidRDefault="001E5696">
            <w:pPr>
              <w:spacing w:after="0"/>
              <w:rPr>
                <w:sz w:val="20"/>
                <w:szCs w:val="20"/>
              </w:rPr>
            </w:pPr>
            <w:r w:rsidRPr="004D6D7A">
              <w:rPr>
                <w:color w:val="000000"/>
                <w:sz w:val="20"/>
                <w:szCs w:val="20"/>
              </w:rPr>
              <w:t>Adres, numer działki ewidencyjnej i numer obrębu ewidencyjnego</w:t>
            </w:r>
            <w:r w:rsidRPr="004D6D7A">
              <w:rPr>
                <w:color w:val="000000"/>
                <w:sz w:val="20"/>
                <w:szCs w:val="20"/>
                <w:vertAlign w:val="superscript"/>
              </w:rPr>
              <w:t>1</w:t>
            </w:r>
            <w:r w:rsidRPr="004D6D7A">
              <w:rPr>
                <w:color w:val="000000"/>
                <w:sz w:val="20"/>
                <w:szCs w:val="20"/>
              </w:rPr>
              <w:t>)</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3F3770E8" w14:textId="7C155345" w:rsidR="004151A2" w:rsidRPr="004D6D7A" w:rsidRDefault="00E4262B">
            <w:pPr>
              <w:rPr>
                <w:sz w:val="20"/>
                <w:szCs w:val="20"/>
              </w:rPr>
            </w:pPr>
            <w:r w:rsidRPr="004D6D7A">
              <w:rPr>
                <w:sz w:val="20"/>
                <w:szCs w:val="20"/>
              </w:rPr>
              <w:t xml:space="preserve">Pruszcz Gdański, ul. Dywizjonu 303 nr 3, działka ewidencyjna nr </w:t>
            </w:r>
            <w:r w:rsidRPr="004D6D7A">
              <w:rPr>
                <w:b/>
                <w:bCs/>
                <w:sz w:val="20"/>
                <w:szCs w:val="20"/>
              </w:rPr>
              <w:t>1/18</w:t>
            </w:r>
            <w:r w:rsidRPr="004D6D7A">
              <w:rPr>
                <w:sz w:val="20"/>
                <w:szCs w:val="20"/>
              </w:rPr>
              <w:t xml:space="preserve">, obręb 0022, o obszarze </w:t>
            </w:r>
            <w:r w:rsidRPr="004D6D7A">
              <w:rPr>
                <w:b/>
                <w:bCs/>
                <w:sz w:val="20"/>
                <w:szCs w:val="20"/>
              </w:rPr>
              <w:t>0,3417</w:t>
            </w:r>
            <w:r w:rsidRPr="004D6D7A">
              <w:rPr>
                <w:sz w:val="20"/>
                <w:szCs w:val="20"/>
              </w:rPr>
              <w:t xml:space="preserve"> ha</w:t>
            </w:r>
          </w:p>
        </w:tc>
      </w:tr>
      <w:tr w:rsidR="003928F8" w:rsidRPr="00BE7793" w14:paraId="783EE8B5"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2B8D6978" w14:textId="77777777" w:rsidR="004151A2" w:rsidRPr="004D6D7A" w:rsidRDefault="001E5696">
            <w:pPr>
              <w:spacing w:after="0"/>
              <w:rPr>
                <w:sz w:val="20"/>
                <w:szCs w:val="20"/>
              </w:rPr>
            </w:pPr>
            <w:r w:rsidRPr="004D6D7A">
              <w:rPr>
                <w:color w:val="000000"/>
                <w:sz w:val="20"/>
                <w:szCs w:val="20"/>
              </w:rPr>
              <w:t>Numer księgi wieczystej</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6B13F8DB" w14:textId="3C3EFC52" w:rsidR="004151A2" w:rsidRPr="004D6D7A" w:rsidRDefault="00E4262B">
            <w:pPr>
              <w:rPr>
                <w:sz w:val="20"/>
                <w:szCs w:val="20"/>
              </w:rPr>
            </w:pPr>
            <w:r w:rsidRPr="004D6D7A">
              <w:rPr>
                <w:sz w:val="20"/>
                <w:szCs w:val="20"/>
              </w:rPr>
              <w:t>GD1G/00096581/8</w:t>
            </w:r>
          </w:p>
        </w:tc>
      </w:tr>
      <w:tr w:rsidR="003928F8" w:rsidRPr="00BE7793" w14:paraId="65DE0B54"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20727166" w14:textId="77777777" w:rsidR="00E4262B" w:rsidRPr="004D6D7A" w:rsidRDefault="00E4262B" w:rsidP="00E4262B">
            <w:pPr>
              <w:spacing w:after="0"/>
              <w:rPr>
                <w:sz w:val="20"/>
                <w:szCs w:val="20"/>
              </w:rPr>
            </w:pPr>
            <w:r w:rsidRPr="004D6D7A">
              <w:rPr>
                <w:color w:val="000000"/>
                <w:sz w:val="20"/>
                <w:szCs w:val="20"/>
              </w:rPr>
              <w:t>Istniejące obciążenia hipoteczne nieruchomości lub wnioski o wpis w dziale czwartym księgi wieczystej</w:t>
            </w:r>
          </w:p>
        </w:tc>
        <w:tc>
          <w:tcPr>
            <w:tcW w:w="7371" w:type="dxa"/>
            <w:gridSpan w:val="3"/>
            <w:tcBorders>
              <w:bottom w:val="single" w:sz="8" w:space="0" w:color="000000"/>
              <w:right w:val="single" w:sz="8" w:space="0" w:color="000000"/>
            </w:tcBorders>
            <w:tcMar>
              <w:top w:w="15" w:type="dxa"/>
              <w:left w:w="15" w:type="dxa"/>
              <w:bottom w:w="15" w:type="dxa"/>
              <w:right w:w="15" w:type="dxa"/>
            </w:tcMar>
          </w:tcPr>
          <w:p w14:paraId="3C90E8D7" w14:textId="77777777" w:rsidR="00E4262B" w:rsidRPr="004D6D7A" w:rsidRDefault="00E4262B" w:rsidP="00E4262B">
            <w:pPr>
              <w:pStyle w:val="Zwykytekst"/>
              <w:jc w:val="both"/>
              <w:rPr>
                <w:rFonts w:ascii="Times New Roman" w:eastAsia="Times New Roman" w:hAnsi="Times New Roman"/>
                <w:sz w:val="20"/>
                <w:szCs w:val="20"/>
                <w:lang w:eastAsia="pl-PL"/>
              </w:rPr>
            </w:pPr>
          </w:p>
          <w:p w14:paraId="1E414771" w14:textId="77777777" w:rsidR="00E4262B" w:rsidRPr="004D6D7A" w:rsidRDefault="00E4262B" w:rsidP="00E4262B">
            <w:pPr>
              <w:pStyle w:val="Zwykytekst"/>
              <w:jc w:val="both"/>
              <w:rPr>
                <w:rFonts w:ascii="Times New Roman" w:eastAsia="Times New Roman" w:hAnsi="Times New Roman"/>
                <w:sz w:val="20"/>
                <w:szCs w:val="20"/>
                <w:lang w:eastAsia="pl-PL"/>
              </w:rPr>
            </w:pPr>
            <w:r w:rsidRPr="004D6D7A">
              <w:rPr>
                <w:rFonts w:ascii="Times New Roman" w:eastAsia="Times New Roman" w:hAnsi="Times New Roman"/>
                <w:sz w:val="20"/>
                <w:szCs w:val="20"/>
                <w:lang w:eastAsia="pl-PL"/>
              </w:rPr>
              <w:t>Nie dotyczy</w:t>
            </w:r>
          </w:p>
          <w:p w14:paraId="61752374" w14:textId="77777777" w:rsidR="00E4262B" w:rsidRPr="004D6D7A" w:rsidRDefault="00E4262B" w:rsidP="00E4262B">
            <w:pPr>
              <w:rPr>
                <w:sz w:val="20"/>
                <w:szCs w:val="20"/>
              </w:rPr>
            </w:pPr>
          </w:p>
        </w:tc>
      </w:tr>
      <w:tr w:rsidR="003928F8" w:rsidRPr="00BE7793" w14:paraId="7219E466"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12658ED4" w14:textId="77777777" w:rsidR="00E4262B" w:rsidRPr="004D6D7A" w:rsidRDefault="00E4262B" w:rsidP="00E4262B">
            <w:pPr>
              <w:spacing w:after="0"/>
              <w:rPr>
                <w:sz w:val="20"/>
                <w:szCs w:val="20"/>
              </w:rPr>
            </w:pPr>
            <w:r w:rsidRPr="004D6D7A">
              <w:rPr>
                <w:color w:val="000000"/>
                <w:sz w:val="20"/>
                <w:szCs w:val="20"/>
              </w:rPr>
              <w:t>W przypadku braku księgi wieczystej informacja o powierzchni działki i stanie prawnym nieruchomości</w:t>
            </w:r>
            <w:r w:rsidRPr="004D6D7A">
              <w:rPr>
                <w:color w:val="000000"/>
                <w:sz w:val="20"/>
                <w:szCs w:val="20"/>
                <w:vertAlign w:val="superscript"/>
              </w:rPr>
              <w:t>2</w:t>
            </w:r>
            <w:r w:rsidRPr="004D6D7A">
              <w:rPr>
                <w:color w:val="000000"/>
                <w:sz w:val="20"/>
                <w:szCs w:val="20"/>
              </w:rPr>
              <w:t>)</w:t>
            </w:r>
          </w:p>
        </w:tc>
        <w:tc>
          <w:tcPr>
            <w:tcW w:w="7371" w:type="dxa"/>
            <w:gridSpan w:val="3"/>
            <w:tcBorders>
              <w:bottom w:val="single" w:sz="8" w:space="0" w:color="000000"/>
              <w:right w:val="single" w:sz="8" w:space="0" w:color="000000"/>
            </w:tcBorders>
            <w:tcMar>
              <w:top w:w="15" w:type="dxa"/>
              <w:left w:w="15" w:type="dxa"/>
              <w:bottom w:w="15" w:type="dxa"/>
              <w:right w:w="15" w:type="dxa"/>
            </w:tcMar>
          </w:tcPr>
          <w:p w14:paraId="5D42A669" w14:textId="77777777" w:rsidR="00E4262B" w:rsidRPr="004D6D7A" w:rsidRDefault="00E4262B" w:rsidP="00E4262B">
            <w:pPr>
              <w:pStyle w:val="Zwykytekst"/>
              <w:jc w:val="both"/>
              <w:rPr>
                <w:rFonts w:ascii="Times New Roman" w:eastAsia="Times New Roman" w:hAnsi="Times New Roman"/>
                <w:sz w:val="20"/>
                <w:szCs w:val="20"/>
                <w:lang w:eastAsia="pl-PL"/>
              </w:rPr>
            </w:pPr>
          </w:p>
          <w:p w14:paraId="60F70493" w14:textId="77777777" w:rsidR="00E4262B" w:rsidRPr="004D6D7A" w:rsidRDefault="00E4262B" w:rsidP="00E4262B">
            <w:pPr>
              <w:pStyle w:val="Zwykytekst"/>
              <w:jc w:val="both"/>
              <w:rPr>
                <w:rFonts w:ascii="Times New Roman" w:eastAsia="Times New Roman" w:hAnsi="Times New Roman"/>
                <w:sz w:val="20"/>
                <w:szCs w:val="20"/>
                <w:lang w:eastAsia="pl-PL"/>
              </w:rPr>
            </w:pPr>
            <w:r w:rsidRPr="004D6D7A">
              <w:rPr>
                <w:rFonts w:ascii="Times New Roman" w:eastAsia="Times New Roman" w:hAnsi="Times New Roman"/>
                <w:sz w:val="20"/>
                <w:szCs w:val="20"/>
                <w:lang w:eastAsia="pl-PL"/>
              </w:rPr>
              <w:t>Nie dotyczy</w:t>
            </w:r>
          </w:p>
          <w:p w14:paraId="5D25116A" w14:textId="77777777" w:rsidR="00E4262B" w:rsidRPr="004D6D7A" w:rsidRDefault="00E4262B" w:rsidP="00E4262B">
            <w:pPr>
              <w:rPr>
                <w:sz w:val="20"/>
                <w:szCs w:val="20"/>
              </w:rPr>
            </w:pPr>
          </w:p>
        </w:tc>
      </w:tr>
      <w:tr w:rsidR="003928F8" w:rsidRPr="00BE7793" w14:paraId="75AAA4F4"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665C158A" w14:textId="77777777" w:rsidR="00E4262B" w:rsidRPr="004D6D7A" w:rsidRDefault="00E4262B" w:rsidP="00E4262B">
            <w:pPr>
              <w:spacing w:after="0"/>
              <w:rPr>
                <w:sz w:val="20"/>
                <w:szCs w:val="20"/>
              </w:rPr>
            </w:pPr>
            <w:r w:rsidRPr="004D6D7A">
              <w:rPr>
                <w:color w:val="000000"/>
                <w:sz w:val="20"/>
                <w:szCs w:val="20"/>
              </w:rPr>
              <w:t>Informacje dotyczące obiektów istniejących położonych w sąsiedztwie inwestycji i wpływających na warunki życia</w:t>
            </w:r>
            <w:r w:rsidRPr="004D6D7A">
              <w:rPr>
                <w:color w:val="000000"/>
                <w:sz w:val="20"/>
                <w:szCs w:val="20"/>
                <w:vertAlign w:val="superscript"/>
              </w:rPr>
              <w:t>3</w:t>
            </w:r>
            <w:r w:rsidRPr="004D6D7A">
              <w:rPr>
                <w:color w:val="000000"/>
                <w:sz w:val="20"/>
                <w:szCs w:val="20"/>
              </w:rPr>
              <w:t>)</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66B0B189" w14:textId="77777777" w:rsidR="00E4262B" w:rsidRPr="004D6D7A" w:rsidRDefault="00E4262B" w:rsidP="00E4262B">
            <w:pPr>
              <w:shd w:val="clear" w:color="auto" w:fill="FFFFFF"/>
              <w:suppressAutoHyphens/>
              <w:snapToGrid w:val="0"/>
              <w:spacing w:after="0" w:line="240" w:lineRule="auto"/>
              <w:rPr>
                <w:sz w:val="20"/>
                <w:szCs w:val="20"/>
              </w:rPr>
            </w:pPr>
            <w:r w:rsidRPr="004D6D7A">
              <w:rPr>
                <w:sz w:val="20"/>
                <w:szCs w:val="20"/>
              </w:rPr>
              <w:t>Istniejące obiekty położone w sąsiedztwie inwestycji wpływające na warunki życia:</w:t>
            </w:r>
          </w:p>
          <w:p w14:paraId="1AD8B520" w14:textId="77777777" w:rsidR="00E4262B" w:rsidRPr="004D6D7A" w:rsidRDefault="00E4262B" w:rsidP="00E4262B">
            <w:pPr>
              <w:numPr>
                <w:ilvl w:val="0"/>
                <w:numId w:val="2"/>
              </w:numPr>
              <w:shd w:val="clear" w:color="auto" w:fill="FFFFFF"/>
              <w:suppressAutoHyphens/>
              <w:snapToGrid w:val="0"/>
              <w:spacing w:after="0" w:line="240" w:lineRule="auto"/>
              <w:rPr>
                <w:sz w:val="20"/>
                <w:szCs w:val="20"/>
              </w:rPr>
            </w:pPr>
            <w:r w:rsidRPr="004D6D7A">
              <w:rPr>
                <w:sz w:val="20"/>
                <w:szCs w:val="20"/>
              </w:rPr>
              <w:t>49 Baza Lotnicza w Pruszczu Gdańskim</w:t>
            </w:r>
          </w:p>
          <w:p w14:paraId="75B32BF7" w14:textId="404B1105" w:rsidR="00E4262B" w:rsidRPr="004D6D7A" w:rsidRDefault="00E4262B" w:rsidP="00E4262B">
            <w:pPr>
              <w:numPr>
                <w:ilvl w:val="0"/>
                <w:numId w:val="2"/>
              </w:numPr>
              <w:shd w:val="clear" w:color="auto" w:fill="FFFFFF"/>
              <w:suppressAutoHyphens/>
              <w:snapToGrid w:val="0"/>
              <w:spacing w:after="0" w:line="240" w:lineRule="auto"/>
              <w:rPr>
                <w:sz w:val="20"/>
                <w:szCs w:val="20"/>
              </w:rPr>
            </w:pPr>
            <w:r w:rsidRPr="004D6D7A">
              <w:rPr>
                <w:sz w:val="20"/>
                <w:szCs w:val="20"/>
              </w:rPr>
              <w:t>linia kolejowa – relacja Warszawa Wschodnia Osobowa – Gdańsk Główny</w:t>
            </w:r>
          </w:p>
        </w:tc>
      </w:tr>
      <w:tr w:rsidR="003928F8" w:rsidRPr="00BE7793" w14:paraId="3D673E14"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2E871928" w14:textId="77777777" w:rsidR="00E4262B" w:rsidRPr="004D6D7A" w:rsidRDefault="00E4262B" w:rsidP="00E4262B">
            <w:pPr>
              <w:spacing w:after="0"/>
              <w:rPr>
                <w:sz w:val="20"/>
                <w:szCs w:val="20"/>
              </w:rPr>
            </w:pPr>
            <w:r w:rsidRPr="004D6D7A">
              <w:rPr>
                <w:color w:val="000000"/>
                <w:sz w:val="20"/>
                <w:szCs w:val="20"/>
              </w:rPr>
              <w:t>Akty planowania przestrzennego i inne akty prawne na terenie objętym przedsięwzięciem deweloperskim lub zadaniem inwestycyjnym</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FDCD865" w14:textId="77777777" w:rsidR="00E4262B" w:rsidRPr="004D6D7A" w:rsidRDefault="00E4262B" w:rsidP="00E4262B">
            <w:pPr>
              <w:spacing w:after="0"/>
              <w:rPr>
                <w:sz w:val="20"/>
                <w:szCs w:val="20"/>
              </w:rPr>
            </w:pPr>
            <w:r w:rsidRPr="004D6D7A">
              <w:rPr>
                <w:color w:val="000000"/>
                <w:sz w:val="20"/>
                <w:szCs w:val="20"/>
              </w:rPr>
              <w:t>Plan ogólny gminy</w:t>
            </w:r>
          </w:p>
        </w:tc>
        <w:tc>
          <w:tcPr>
            <w:tcW w:w="4293"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14:paraId="26664B66" w14:textId="77CC5C2C" w:rsidR="00E4262B" w:rsidRPr="004D6D7A" w:rsidRDefault="00F926FE" w:rsidP="00B93ABC">
            <w:pPr>
              <w:spacing w:after="0"/>
              <w:jc w:val="center"/>
              <w:rPr>
                <w:sz w:val="20"/>
                <w:szCs w:val="20"/>
              </w:rPr>
            </w:pPr>
            <w:r w:rsidRPr="004D6D7A">
              <w:rPr>
                <w:sz w:val="20"/>
                <w:szCs w:val="20"/>
              </w:rPr>
              <w:t>Miejscowy plan zagospodarowania przestrzennego przyjęty Uchwałą</w:t>
            </w:r>
            <w:r w:rsidR="00B93ABC" w:rsidRPr="004D6D7A">
              <w:rPr>
                <w:sz w:val="20"/>
                <w:szCs w:val="20"/>
              </w:rPr>
              <w:t xml:space="preserve"> </w:t>
            </w:r>
            <w:r w:rsidRPr="004D6D7A">
              <w:rPr>
                <w:sz w:val="20"/>
                <w:szCs w:val="20"/>
              </w:rPr>
              <w:t>nr</w:t>
            </w:r>
            <w:r w:rsidR="00B93ABC" w:rsidRPr="004D6D7A">
              <w:rPr>
                <w:sz w:val="20"/>
                <w:szCs w:val="20"/>
              </w:rPr>
              <w:t xml:space="preserve"> LXII/605/2023 R</w:t>
            </w:r>
            <w:r w:rsidRPr="004D6D7A">
              <w:rPr>
                <w:sz w:val="20"/>
                <w:szCs w:val="20"/>
              </w:rPr>
              <w:t>ady</w:t>
            </w:r>
            <w:r w:rsidR="00B93ABC" w:rsidRPr="004D6D7A">
              <w:rPr>
                <w:sz w:val="20"/>
                <w:szCs w:val="20"/>
              </w:rPr>
              <w:t xml:space="preserve"> M</w:t>
            </w:r>
            <w:r w:rsidRPr="004D6D7A">
              <w:rPr>
                <w:sz w:val="20"/>
                <w:szCs w:val="20"/>
              </w:rPr>
              <w:t xml:space="preserve">iasta </w:t>
            </w:r>
            <w:r w:rsidR="00B93ABC" w:rsidRPr="004D6D7A">
              <w:rPr>
                <w:sz w:val="20"/>
                <w:szCs w:val="20"/>
              </w:rPr>
              <w:t>P</w:t>
            </w:r>
            <w:r w:rsidRPr="004D6D7A">
              <w:rPr>
                <w:sz w:val="20"/>
                <w:szCs w:val="20"/>
              </w:rPr>
              <w:t>ruszcz</w:t>
            </w:r>
            <w:r w:rsidR="00B93ABC" w:rsidRPr="004D6D7A">
              <w:rPr>
                <w:sz w:val="20"/>
                <w:szCs w:val="20"/>
              </w:rPr>
              <w:t xml:space="preserve"> G</w:t>
            </w:r>
            <w:r w:rsidRPr="004D6D7A">
              <w:rPr>
                <w:sz w:val="20"/>
                <w:szCs w:val="20"/>
              </w:rPr>
              <w:t xml:space="preserve">dański </w:t>
            </w:r>
            <w:r w:rsidR="00B93ABC" w:rsidRPr="004D6D7A">
              <w:rPr>
                <w:sz w:val="20"/>
                <w:szCs w:val="20"/>
              </w:rPr>
              <w:t>z dnia 28 listopada 2023 r. w sprawie uchwalenia miejscowego planu zagospodarowania przestrzennego miasta Pruszcz Gdański "Osiedle Komarowo"</w:t>
            </w:r>
          </w:p>
        </w:tc>
      </w:tr>
      <w:tr w:rsidR="003928F8" w:rsidRPr="00BE7793" w14:paraId="20EC3B6D" w14:textId="77777777" w:rsidTr="00345502">
        <w:trPr>
          <w:trHeight w:val="45"/>
          <w:tblCellSpacing w:w="0" w:type="auto"/>
        </w:trPr>
        <w:tc>
          <w:tcPr>
            <w:tcW w:w="3119" w:type="dxa"/>
            <w:vMerge/>
            <w:tcBorders>
              <w:top w:val="nil"/>
              <w:bottom w:val="single" w:sz="8" w:space="0" w:color="000000"/>
              <w:right w:val="single" w:sz="8" w:space="0" w:color="000000"/>
            </w:tcBorders>
          </w:tcPr>
          <w:p w14:paraId="3CC55DAE"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AA7C2EF" w14:textId="77777777" w:rsidR="00E4262B" w:rsidRPr="004D6D7A" w:rsidRDefault="00E4262B" w:rsidP="00E4262B">
            <w:pPr>
              <w:spacing w:after="0"/>
              <w:rPr>
                <w:sz w:val="20"/>
                <w:szCs w:val="20"/>
              </w:rPr>
            </w:pPr>
            <w:r w:rsidRPr="004D6D7A">
              <w:rPr>
                <w:color w:val="000000"/>
                <w:sz w:val="20"/>
                <w:szCs w:val="20"/>
              </w:rPr>
              <w:t>Miejscowy plan zagospodarowania przestrzennego</w:t>
            </w:r>
          </w:p>
        </w:tc>
        <w:tc>
          <w:tcPr>
            <w:tcW w:w="4293" w:type="dxa"/>
            <w:gridSpan w:val="2"/>
            <w:vMerge/>
            <w:tcBorders>
              <w:top w:val="nil"/>
              <w:bottom w:val="single" w:sz="8" w:space="0" w:color="000000"/>
              <w:right w:val="single" w:sz="8" w:space="0" w:color="000000"/>
            </w:tcBorders>
          </w:tcPr>
          <w:p w14:paraId="10EE4C27" w14:textId="77777777" w:rsidR="00E4262B" w:rsidRPr="004D6D7A" w:rsidRDefault="00E4262B" w:rsidP="004B767D">
            <w:pPr>
              <w:jc w:val="center"/>
              <w:rPr>
                <w:sz w:val="20"/>
                <w:szCs w:val="20"/>
              </w:rPr>
            </w:pPr>
          </w:p>
        </w:tc>
      </w:tr>
      <w:tr w:rsidR="003928F8" w:rsidRPr="00BE7793" w14:paraId="1A1228D3" w14:textId="77777777" w:rsidTr="00345502">
        <w:trPr>
          <w:trHeight w:val="45"/>
          <w:tblCellSpacing w:w="0" w:type="auto"/>
        </w:trPr>
        <w:tc>
          <w:tcPr>
            <w:tcW w:w="3119" w:type="dxa"/>
            <w:vMerge/>
            <w:tcBorders>
              <w:top w:val="nil"/>
              <w:bottom w:val="single" w:sz="8" w:space="0" w:color="000000"/>
              <w:right w:val="single" w:sz="8" w:space="0" w:color="000000"/>
            </w:tcBorders>
          </w:tcPr>
          <w:p w14:paraId="21B09479"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E3CB190" w14:textId="77777777" w:rsidR="00E4262B" w:rsidRPr="004D6D7A" w:rsidRDefault="00E4262B" w:rsidP="00E4262B">
            <w:pPr>
              <w:spacing w:after="0"/>
              <w:rPr>
                <w:sz w:val="20"/>
                <w:szCs w:val="20"/>
              </w:rPr>
            </w:pPr>
            <w:r w:rsidRPr="004D6D7A">
              <w:rPr>
                <w:color w:val="000000"/>
                <w:sz w:val="20"/>
                <w:szCs w:val="20"/>
              </w:rPr>
              <w:t>Miejscowy plan odbudowy</w:t>
            </w:r>
          </w:p>
        </w:tc>
        <w:tc>
          <w:tcPr>
            <w:tcW w:w="4293" w:type="dxa"/>
            <w:gridSpan w:val="2"/>
            <w:vMerge/>
            <w:tcBorders>
              <w:top w:val="nil"/>
              <w:bottom w:val="single" w:sz="8" w:space="0" w:color="000000"/>
              <w:right w:val="single" w:sz="8" w:space="0" w:color="000000"/>
            </w:tcBorders>
          </w:tcPr>
          <w:p w14:paraId="49749F5A" w14:textId="77777777" w:rsidR="00E4262B" w:rsidRPr="004D6D7A" w:rsidRDefault="00E4262B" w:rsidP="004B767D">
            <w:pPr>
              <w:jc w:val="center"/>
              <w:rPr>
                <w:sz w:val="20"/>
                <w:szCs w:val="20"/>
              </w:rPr>
            </w:pPr>
          </w:p>
        </w:tc>
      </w:tr>
      <w:tr w:rsidR="003928F8" w:rsidRPr="00BE7793" w14:paraId="472CE5D2" w14:textId="77777777" w:rsidTr="00345502">
        <w:trPr>
          <w:trHeight w:val="45"/>
          <w:tblCellSpacing w:w="0" w:type="auto"/>
        </w:trPr>
        <w:tc>
          <w:tcPr>
            <w:tcW w:w="3119" w:type="dxa"/>
            <w:vMerge/>
            <w:tcBorders>
              <w:top w:val="nil"/>
              <w:bottom w:val="single" w:sz="8" w:space="0" w:color="000000"/>
              <w:right w:val="single" w:sz="8" w:space="0" w:color="000000"/>
            </w:tcBorders>
          </w:tcPr>
          <w:p w14:paraId="45B4D40F"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5382023" w14:textId="77777777" w:rsidR="00E4262B" w:rsidRPr="004D6D7A" w:rsidRDefault="00E4262B" w:rsidP="00E4262B">
            <w:pPr>
              <w:spacing w:after="0"/>
              <w:rPr>
                <w:sz w:val="20"/>
                <w:szCs w:val="20"/>
              </w:rPr>
            </w:pPr>
            <w:r w:rsidRPr="004D6D7A">
              <w:rPr>
                <w:color w:val="000000"/>
                <w:sz w:val="20"/>
                <w:szCs w:val="20"/>
              </w:rPr>
              <w:t>Inne</w:t>
            </w:r>
            <w:r w:rsidRPr="004D6D7A">
              <w:rPr>
                <w:color w:val="000000"/>
                <w:sz w:val="20"/>
                <w:szCs w:val="20"/>
                <w:vertAlign w:val="superscript"/>
              </w:rPr>
              <w:t>4</w:t>
            </w:r>
            <w:r w:rsidRPr="004D6D7A">
              <w:rPr>
                <w:color w:val="000000"/>
                <w:sz w:val="20"/>
                <w:szCs w:val="20"/>
              </w:rPr>
              <w:t>)</w:t>
            </w:r>
          </w:p>
        </w:tc>
        <w:tc>
          <w:tcPr>
            <w:tcW w:w="4293" w:type="dxa"/>
            <w:gridSpan w:val="2"/>
            <w:vMerge/>
            <w:tcBorders>
              <w:top w:val="nil"/>
              <w:bottom w:val="single" w:sz="8" w:space="0" w:color="000000"/>
              <w:right w:val="single" w:sz="8" w:space="0" w:color="000000"/>
            </w:tcBorders>
          </w:tcPr>
          <w:p w14:paraId="1535ACA5" w14:textId="77777777" w:rsidR="00E4262B" w:rsidRPr="004D6D7A" w:rsidRDefault="00E4262B" w:rsidP="004B767D">
            <w:pPr>
              <w:jc w:val="center"/>
              <w:rPr>
                <w:sz w:val="20"/>
                <w:szCs w:val="20"/>
              </w:rPr>
            </w:pPr>
          </w:p>
        </w:tc>
      </w:tr>
      <w:tr w:rsidR="003928F8" w:rsidRPr="00BE7793" w14:paraId="7AA08A57"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207985C1" w14:textId="77777777" w:rsidR="00E4262B" w:rsidRPr="004D6D7A" w:rsidRDefault="00E4262B" w:rsidP="00E4262B">
            <w:pPr>
              <w:spacing w:after="0"/>
              <w:rPr>
                <w:sz w:val="20"/>
                <w:szCs w:val="20"/>
              </w:rPr>
            </w:pPr>
            <w:r w:rsidRPr="004D6D7A">
              <w:rPr>
                <w:color w:val="000000"/>
                <w:sz w:val="20"/>
                <w:szCs w:val="20"/>
              </w:rPr>
              <w:t>Ustalenia obowiązującego miejscowego planu zagospodarowania przestrzennego dla terenu objętego przedsięwzięciem deweloperskim lub zadaniem inwestycyjnym</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10CF622" w14:textId="77777777" w:rsidR="00E4262B" w:rsidRPr="004D6D7A" w:rsidRDefault="00E4262B" w:rsidP="00E4262B">
            <w:pPr>
              <w:spacing w:after="0"/>
              <w:rPr>
                <w:sz w:val="20"/>
                <w:szCs w:val="20"/>
              </w:rPr>
            </w:pPr>
            <w:r w:rsidRPr="004D6D7A">
              <w:rPr>
                <w:color w:val="000000"/>
                <w:sz w:val="20"/>
                <w:szCs w:val="20"/>
              </w:rPr>
              <w:t>Przeznaczenie terenu</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194B58F6" w14:textId="41E2BE21" w:rsidR="00E4262B" w:rsidRPr="004D6D7A" w:rsidRDefault="00FA4805" w:rsidP="004B767D">
            <w:pPr>
              <w:jc w:val="center"/>
              <w:rPr>
                <w:sz w:val="20"/>
                <w:szCs w:val="20"/>
              </w:rPr>
            </w:pPr>
            <w:r w:rsidRPr="004D6D7A">
              <w:rPr>
                <w:sz w:val="20"/>
                <w:szCs w:val="20"/>
              </w:rPr>
              <w:t>teren zabudowy mieszkaniowej wielorodzinnej</w:t>
            </w:r>
          </w:p>
        </w:tc>
      </w:tr>
      <w:tr w:rsidR="003928F8" w:rsidRPr="00BE7793" w14:paraId="7C937612" w14:textId="77777777" w:rsidTr="00345502">
        <w:trPr>
          <w:trHeight w:val="45"/>
          <w:tblCellSpacing w:w="0" w:type="auto"/>
        </w:trPr>
        <w:tc>
          <w:tcPr>
            <w:tcW w:w="3119" w:type="dxa"/>
            <w:vMerge/>
            <w:tcBorders>
              <w:top w:val="nil"/>
              <w:bottom w:val="single" w:sz="8" w:space="0" w:color="000000"/>
              <w:right w:val="single" w:sz="8" w:space="0" w:color="000000"/>
            </w:tcBorders>
          </w:tcPr>
          <w:p w14:paraId="7BE8158D"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18FBC6F" w14:textId="77777777" w:rsidR="00E4262B" w:rsidRPr="004D6D7A" w:rsidRDefault="00E4262B" w:rsidP="00E4262B">
            <w:pPr>
              <w:spacing w:after="0"/>
              <w:rPr>
                <w:sz w:val="20"/>
                <w:szCs w:val="20"/>
              </w:rPr>
            </w:pPr>
            <w:r w:rsidRPr="004D6D7A">
              <w:rPr>
                <w:color w:val="000000"/>
                <w:sz w:val="20"/>
                <w:szCs w:val="20"/>
              </w:rPr>
              <w:t>Maksymalna intensywność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523CABB1" w14:textId="02FA013F" w:rsidR="00E4262B" w:rsidRPr="004D6D7A" w:rsidRDefault="00FA4805" w:rsidP="004B767D">
            <w:pPr>
              <w:jc w:val="center"/>
              <w:rPr>
                <w:sz w:val="20"/>
                <w:szCs w:val="20"/>
              </w:rPr>
            </w:pPr>
            <w:r w:rsidRPr="004D6D7A">
              <w:rPr>
                <w:sz w:val="20"/>
                <w:szCs w:val="20"/>
              </w:rPr>
              <w:t>maksymalna - 2,04</w:t>
            </w:r>
          </w:p>
        </w:tc>
      </w:tr>
      <w:tr w:rsidR="003928F8" w:rsidRPr="00BE7793" w14:paraId="4FA73554" w14:textId="77777777" w:rsidTr="00345502">
        <w:trPr>
          <w:trHeight w:val="45"/>
          <w:tblCellSpacing w:w="0" w:type="auto"/>
        </w:trPr>
        <w:tc>
          <w:tcPr>
            <w:tcW w:w="3119" w:type="dxa"/>
            <w:vMerge/>
            <w:tcBorders>
              <w:top w:val="nil"/>
              <w:bottom w:val="single" w:sz="8" w:space="0" w:color="000000"/>
              <w:right w:val="single" w:sz="8" w:space="0" w:color="000000"/>
            </w:tcBorders>
          </w:tcPr>
          <w:p w14:paraId="40258966"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B14E771" w14:textId="77777777" w:rsidR="00E4262B" w:rsidRPr="004D6D7A" w:rsidRDefault="00E4262B" w:rsidP="00E4262B">
            <w:pPr>
              <w:spacing w:after="0"/>
              <w:rPr>
                <w:sz w:val="20"/>
                <w:szCs w:val="20"/>
              </w:rPr>
            </w:pPr>
            <w:r w:rsidRPr="004D6D7A">
              <w:rPr>
                <w:color w:val="000000"/>
                <w:sz w:val="20"/>
                <w:szCs w:val="20"/>
              </w:rPr>
              <w:t>Maksymalna i minimalna nadziemna intensywność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65B9051C" w14:textId="77777777" w:rsidR="00FA4805" w:rsidRPr="004D6D7A" w:rsidRDefault="00FA4805" w:rsidP="004B767D">
            <w:pPr>
              <w:jc w:val="center"/>
              <w:rPr>
                <w:sz w:val="20"/>
                <w:szCs w:val="20"/>
              </w:rPr>
            </w:pPr>
            <w:r w:rsidRPr="004D6D7A">
              <w:rPr>
                <w:sz w:val="20"/>
                <w:szCs w:val="20"/>
              </w:rPr>
              <w:t xml:space="preserve">minimalna - 0,1; </w:t>
            </w:r>
          </w:p>
          <w:p w14:paraId="6BFFCEA3" w14:textId="4C0E900C" w:rsidR="00E4262B" w:rsidRPr="004D6D7A" w:rsidRDefault="00FA4805" w:rsidP="004B767D">
            <w:pPr>
              <w:jc w:val="center"/>
              <w:rPr>
                <w:sz w:val="20"/>
                <w:szCs w:val="20"/>
              </w:rPr>
            </w:pPr>
            <w:r w:rsidRPr="004D6D7A">
              <w:rPr>
                <w:sz w:val="20"/>
                <w:szCs w:val="20"/>
              </w:rPr>
              <w:t>maksymalna - 2,04</w:t>
            </w:r>
          </w:p>
        </w:tc>
      </w:tr>
      <w:tr w:rsidR="003928F8" w:rsidRPr="00BE7793" w14:paraId="44108CE3" w14:textId="77777777" w:rsidTr="00345502">
        <w:trPr>
          <w:trHeight w:val="45"/>
          <w:tblCellSpacing w:w="0" w:type="auto"/>
        </w:trPr>
        <w:tc>
          <w:tcPr>
            <w:tcW w:w="3119" w:type="dxa"/>
            <w:vMerge/>
            <w:tcBorders>
              <w:top w:val="nil"/>
              <w:bottom w:val="single" w:sz="8" w:space="0" w:color="000000"/>
              <w:right w:val="single" w:sz="8" w:space="0" w:color="000000"/>
            </w:tcBorders>
          </w:tcPr>
          <w:p w14:paraId="5CB5C9EE"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5109750" w14:textId="77777777" w:rsidR="00E4262B" w:rsidRPr="004D6D7A" w:rsidRDefault="00E4262B" w:rsidP="00E4262B">
            <w:pPr>
              <w:spacing w:after="0"/>
              <w:rPr>
                <w:sz w:val="20"/>
                <w:szCs w:val="20"/>
              </w:rPr>
            </w:pPr>
            <w:r w:rsidRPr="004D6D7A">
              <w:rPr>
                <w:color w:val="000000"/>
                <w:sz w:val="20"/>
                <w:szCs w:val="20"/>
              </w:rPr>
              <w:t>Maksymalna powierzchnia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2889A876" w14:textId="5ACF6C03" w:rsidR="00E4262B" w:rsidRPr="004D6D7A" w:rsidRDefault="00FA4805" w:rsidP="004B767D">
            <w:pPr>
              <w:jc w:val="center"/>
              <w:rPr>
                <w:sz w:val="20"/>
                <w:szCs w:val="20"/>
              </w:rPr>
            </w:pPr>
            <w:r w:rsidRPr="004D6D7A">
              <w:rPr>
                <w:sz w:val="20"/>
                <w:szCs w:val="20"/>
              </w:rPr>
              <w:t>34%</w:t>
            </w:r>
          </w:p>
        </w:tc>
      </w:tr>
      <w:tr w:rsidR="003928F8" w:rsidRPr="00BE7793" w14:paraId="73285DA5" w14:textId="77777777" w:rsidTr="00345502">
        <w:trPr>
          <w:trHeight w:val="45"/>
          <w:tblCellSpacing w:w="0" w:type="auto"/>
        </w:trPr>
        <w:tc>
          <w:tcPr>
            <w:tcW w:w="3119" w:type="dxa"/>
            <w:vMerge/>
            <w:tcBorders>
              <w:top w:val="nil"/>
              <w:bottom w:val="single" w:sz="8" w:space="0" w:color="000000"/>
              <w:right w:val="single" w:sz="8" w:space="0" w:color="000000"/>
            </w:tcBorders>
          </w:tcPr>
          <w:p w14:paraId="49F9A805"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9AFB391" w14:textId="77777777" w:rsidR="00E4262B" w:rsidRPr="004D6D7A" w:rsidRDefault="00E4262B" w:rsidP="00E4262B">
            <w:pPr>
              <w:spacing w:after="0"/>
              <w:rPr>
                <w:sz w:val="20"/>
                <w:szCs w:val="20"/>
              </w:rPr>
            </w:pPr>
            <w:r w:rsidRPr="004D6D7A">
              <w:rPr>
                <w:color w:val="000000"/>
                <w:sz w:val="20"/>
                <w:szCs w:val="20"/>
              </w:rPr>
              <w:t>Maksymalna wysokość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34887CCC" w14:textId="6B5886DB" w:rsidR="00E4262B" w:rsidRPr="004D6D7A" w:rsidRDefault="00031BE4" w:rsidP="004B767D">
            <w:pPr>
              <w:jc w:val="center"/>
              <w:rPr>
                <w:sz w:val="20"/>
                <w:szCs w:val="20"/>
              </w:rPr>
            </w:pPr>
            <w:r w:rsidRPr="004D6D7A">
              <w:rPr>
                <w:sz w:val="20"/>
                <w:szCs w:val="20"/>
              </w:rPr>
              <w:t>15,0 m - nie więcej niż 5 kondygnacji nadziemnych, dopuszcza się 1 kondygnację podziemną, w tym garaż podziemny</w:t>
            </w:r>
          </w:p>
        </w:tc>
      </w:tr>
      <w:tr w:rsidR="003928F8" w:rsidRPr="00BE7793" w14:paraId="04430055" w14:textId="77777777" w:rsidTr="00345502">
        <w:trPr>
          <w:trHeight w:val="45"/>
          <w:tblCellSpacing w:w="0" w:type="auto"/>
        </w:trPr>
        <w:tc>
          <w:tcPr>
            <w:tcW w:w="3119" w:type="dxa"/>
            <w:vMerge/>
            <w:tcBorders>
              <w:top w:val="nil"/>
              <w:bottom w:val="single" w:sz="8" w:space="0" w:color="000000"/>
              <w:right w:val="single" w:sz="8" w:space="0" w:color="000000"/>
            </w:tcBorders>
          </w:tcPr>
          <w:p w14:paraId="6E9D8457"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BEAF21F" w14:textId="77777777" w:rsidR="00E4262B" w:rsidRPr="004D6D7A" w:rsidRDefault="00E4262B" w:rsidP="00E4262B">
            <w:pPr>
              <w:spacing w:after="0"/>
              <w:rPr>
                <w:sz w:val="20"/>
                <w:szCs w:val="20"/>
              </w:rPr>
            </w:pPr>
            <w:r w:rsidRPr="004D6D7A">
              <w:rPr>
                <w:color w:val="000000"/>
                <w:sz w:val="20"/>
                <w:szCs w:val="20"/>
              </w:rPr>
              <w:t>Minimalny udział procentowy powierzchni biologicznie czynnej</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6F57541E" w14:textId="41329FD7" w:rsidR="00E4262B" w:rsidRPr="004D6D7A" w:rsidRDefault="00031BE4" w:rsidP="004B767D">
            <w:pPr>
              <w:jc w:val="center"/>
              <w:rPr>
                <w:sz w:val="20"/>
                <w:szCs w:val="20"/>
              </w:rPr>
            </w:pPr>
            <w:r w:rsidRPr="004D6D7A">
              <w:rPr>
                <w:sz w:val="20"/>
                <w:szCs w:val="20"/>
              </w:rPr>
              <w:t>40%</w:t>
            </w:r>
          </w:p>
        </w:tc>
      </w:tr>
      <w:tr w:rsidR="003928F8" w:rsidRPr="00BE7793" w14:paraId="02E2CCAE" w14:textId="77777777" w:rsidTr="00345502">
        <w:trPr>
          <w:trHeight w:val="45"/>
          <w:tblCellSpacing w:w="0" w:type="auto"/>
        </w:trPr>
        <w:tc>
          <w:tcPr>
            <w:tcW w:w="3119" w:type="dxa"/>
            <w:vMerge/>
            <w:tcBorders>
              <w:top w:val="nil"/>
              <w:bottom w:val="single" w:sz="8" w:space="0" w:color="000000"/>
              <w:right w:val="single" w:sz="8" w:space="0" w:color="000000"/>
            </w:tcBorders>
          </w:tcPr>
          <w:p w14:paraId="1970730E"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9FAA014" w14:textId="77777777" w:rsidR="00E4262B" w:rsidRPr="004D6D7A" w:rsidRDefault="00E4262B" w:rsidP="00E4262B">
            <w:pPr>
              <w:spacing w:after="0"/>
              <w:rPr>
                <w:sz w:val="20"/>
                <w:szCs w:val="20"/>
              </w:rPr>
            </w:pPr>
            <w:r w:rsidRPr="004D6D7A">
              <w:rPr>
                <w:color w:val="000000"/>
                <w:sz w:val="20"/>
                <w:szCs w:val="20"/>
              </w:rPr>
              <w:t>Minimalna liczba miejsc do parkowania</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6EDBD762" w14:textId="0B8605BD" w:rsidR="00E4262B" w:rsidRPr="004D6D7A" w:rsidRDefault="00242B21" w:rsidP="004B767D">
            <w:pPr>
              <w:jc w:val="center"/>
              <w:rPr>
                <w:sz w:val="20"/>
                <w:szCs w:val="20"/>
              </w:rPr>
            </w:pPr>
            <w:r w:rsidRPr="004D6D7A">
              <w:rPr>
                <w:sz w:val="20"/>
                <w:szCs w:val="20"/>
              </w:rPr>
              <w:t xml:space="preserve">nie mniej niż 1,5 </w:t>
            </w:r>
            <w:proofErr w:type="spellStart"/>
            <w:r w:rsidRPr="004D6D7A">
              <w:rPr>
                <w:sz w:val="20"/>
                <w:szCs w:val="20"/>
              </w:rPr>
              <w:t>mp</w:t>
            </w:r>
            <w:proofErr w:type="spellEnd"/>
            <w:r w:rsidRPr="004D6D7A">
              <w:rPr>
                <w:sz w:val="20"/>
                <w:szCs w:val="20"/>
              </w:rPr>
              <w:t>/mieszkanie;</w:t>
            </w:r>
          </w:p>
        </w:tc>
      </w:tr>
      <w:tr w:rsidR="003928F8" w:rsidRPr="00BE7793" w14:paraId="74FC4365" w14:textId="77777777" w:rsidTr="00345502">
        <w:trPr>
          <w:trHeight w:val="45"/>
          <w:tblCellSpacing w:w="0" w:type="auto"/>
        </w:trPr>
        <w:tc>
          <w:tcPr>
            <w:tcW w:w="3119" w:type="dxa"/>
            <w:vMerge/>
            <w:tcBorders>
              <w:top w:val="nil"/>
              <w:bottom w:val="single" w:sz="8" w:space="0" w:color="000000"/>
              <w:right w:val="single" w:sz="8" w:space="0" w:color="000000"/>
            </w:tcBorders>
          </w:tcPr>
          <w:p w14:paraId="51D2EF46"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43235E3" w14:textId="77777777" w:rsidR="00E4262B" w:rsidRPr="004D6D7A" w:rsidRDefault="00E4262B" w:rsidP="00E4262B">
            <w:pPr>
              <w:spacing w:after="0"/>
              <w:rPr>
                <w:sz w:val="20"/>
                <w:szCs w:val="20"/>
              </w:rPr>
            </w:pPr>
            <w:r w:rsidRPr="004D6D7A">
              <w:rPr>
                <w:color w:val="000000"/>
                <w:sz w:val="20"/>
                <w:szCs w:val="20"/>
              </w:rPr>
              <w:t>Warunki ochrony środowiska i zdrowia ludzi, przyrody i krajobrazu</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5A83A0AB" w14:textId="77777777" w:rsidR="00402162" w:rsidRPr="004D6D7A" w:rsidRDefault="003F06A8" w:rsidP="00A550CD">
            <w:pPr>
              <w:rPr>
                <w:sz w:val="20"/>
                <w:szCs w:val="20"/>
              </w:rPr>
            </w:pPr>
            <w:r w:rsidRPr="004D6D7A">
              <w:rPr>
                <w:sz w:val="20"/>
                <w:szCs w:val="20"/>
              </w:rPr>
              <w:t xml:space="preserve">Pomieszczenia przeznaczone na pobyt ludzi, powinny być zabezpieczone przed wpływem tych zagrożeń i uciążliwości. Poziom emisji zanieczyszczeń, hałasu, promieniowania, wibracji nie może przekraczać poziomów ustalonych w przepisach odrębnych. Projektowane użytkowanie i zagospodarowanie terenu nie może stanowić źródła zanieczyszczeń dla środowiska </w:t>
            </w:r>
            <w:proofErr w:type="spellStart"/>
            <w:r w:rsidRPr="004D6D7A">
              <w:rPr>
                <w:sz w:val="20"/>
                <w:szCs w:val="20"/>
              </w:rPr>
              <w:t>wodno</w:t>
            </w:r>
            <w:proofErr w:type="spellEnd"/>
            <w:r w:rsidRPr="004D6D7A">
              <w:rPr>
                <w:sz w:val="20"/>
                <w:szCs w:val="20"/>
              </w:rPr>
              <w:t xml:space="preserve"> – gruntowego, zastosowa</w:t>
            </w:r>
            <w:r w:rsidR="00E33F8A" w:rsidRPr="004D6D7A">
              <w:rPr>
                <w:sz w:val="20"/>
                <w:szCs w:val="20"/>
              </w:rPr>
              <w:t>ne zostaną</w:t>
            </w:r>
            <w:r w:rsidRPr="004D6D7A">
              <w:rPr>
                <w:sz w:val="20"/>
                <w:szCs w:val="20"/>
              </w:rPr>
              <w:t xml:space="preserve"> takie rozwiązania techniczne, technologiczne i organizacyjne, aby przeciwdziałać zagrożeniom środowiskowym z racji dopuszczonej funkcji. Dobór zieleni z uwzględnieniem miejscowych warunków klimatycznych, cech podłoża gruntowego i gatunków rodzimych. Tereny dróg, placów manewrowych i miejsc postojowych muszą mieć powierzchnię utwardzoną nieprzepuszczalną. Wody opadowe i roztopowe z powierzchni utwardzonych (parkingi, place manewrowe, drogi), przed odprowadzeniem do odbiornika winny być podczyszczone w stopniu zapewniającym spełnienie wymagań określonych w przepisach odrębnych.  Drzewa wysokopienne należy sadzić w takiej odległości od granicy działki, aby nie zacieniały działek sąsiednich, zgodnie z przepisami odrębnymi</w:t>
            </w:r>
            <w:r w:rsidR="00EC3762" w:rsidRPr="004D6D7A">
              <w:rPr>
                <w:sz w:val="20"/>
                <w:szCs w:val="20"/>
              </w:rPr>
              <w:t xml:space="preserve">. </w:t>
            </w:r>
          </w:p>
          <w:p w14:paraId="5EBBB4C7" w14:textId="77777777" w:rsidR="00402162" w:rsidRPr="004D6D7A" w:rsidRDefault="003F06A8" w:rsidP="00A550CD">
            <w:pPr>
              <w:rPr>
                <w:sz w:val="20"/>
                <w:szCs w:val="20"/>
              </w:rPr>
            </w:pPr>
            <w:r w:rsidRPr="004D6D7A">
              <w:rPr>
                <w:sz w:val="20"/>
                <w:szCs w:val="20"/>
              </w:rPr>
              <w:t xml:space="preserve">Przy realizacji ustaleń planu miejscowego należy zapewnić ochronę siedlisk i stanowisk chronionych gatunków, zgodnie z obowiązującymi przepisami prawa dotyczącymi ochrony gatunkowej: </w:t>
            </w:r>
          </w:p>
          <w:p w14:paraId="2379B924" w14:textId="7768921E" w:rsidR="00402162" w:rsidRPr="004D6D7A" w:rsidRDefault="003F06A8" w:rsidP="00A550CD">
            <w:pPr>
              <w:rPr>
                <w:sz w:val="20"/>
                <w:szCs w:val="20"/>
              </w:rPr>
            </w:pPr>
            <w:r w:rsidRPr="004D6D7A">
              <w:rPr>
                <w:sz w:val="20"/>
                <w:szCs w:val="20"/>
              </w:rPr>
              <w:t xml:space="preserve">1) dziko występujących roślin objętych ochroną; </w:t>
            </w:r>
            <w:r w:rsidR="00A550CD" w:rsidRPr="004D6D7A">
              <w:rPr>
                <w:sz w:val="20"/>
                <w:szCs w:val="20"/>
              </w:rPr>
              <w:br/>
            </w:r>
            <w:r w:rsidRPr="004D6D7A">
              <w:rPr>
                <w:sz w:val="20"/>
                <w:szCs w:val="20"/>
              </w:rPr>
              <w:t xml:space="preserve">2) dziko występujących zwierząt objętych ochroną; </w:t>
            </w:r>
            <w:r w:rsidR="00A550CD" w:rsidRPr="004D6D7A">
              <w:rPr>
                <w:sz w:val="20"/>
                <w:szCs w:val="20"/>
              </w:rPr>
              <w:br/>
            </w:r>
            <w:r w:rsidRPr="004D6D7A">
              <w:rPr>
                <w:sz w:val="20"/>
                <w:szCs w:val="20"/>
              </w:rPr>
              <w:t xml:space="preserve">3) dziko występujących grzybów objętych ochroną; </w:t>
            </w:r>
            <w:r w:rsidR="00A550CD" w:rsidRPr="004D6D7A">
              <w:rPr>
                <w:sz w:val="20"/>
                <w:szCs w:val="20"/>
              </w:rPr>
              <w:br/>
            </w:r>
            <w:r w:rsidRPr="004D6D7A">
              <w:rPr>
                <w:sz w:val="20"/>
                <w:szCs w:val="20"/>
              </w:rPr>
              <w:t xml:space="preserve">4) wycinkę drzew i </w:t>
            </w:r>
            <w:proofErr w:type="spellStart"/>
            <w:r w:rsidRPr="004D6D7A">
              <w:rPr>
                <w:sz w:val="20"/>
                <w:szCs w:val="20"/>
              </w:rPr>
              <w:t>zakrzewień</w:t>
            </w:r>
            <w:proofErr w:type="spellEnd"/>
            <w:r w:rsidRPr="004D6D7A">
              <w:rPr>
                <w:sz w:val="20"/>
                <w:szCs w:val="20"/>
              </w:rPr>
              <w:t xml:space="preserve">, w których występują chronione rośliny, zwierzęta lub grzyby zgodnie z przepisami o ochronie przyrody; wycinkę drzew i krzewów będących siedliskiem ptaków, po wypełnieniu przepisów o ochronie przyrody, realizować należy poza sezonem lęgowym. </w:t>
            </w:r>
          </w:p>
          <w:p w14:paraId="6085C595" w14:textId="77777777" w:rsidR="00402162" w:rsidRPr="004D6D7A" w:rsidRDefault="003F06A8" w:rsidP="00A550CD">
            <w:pPr>
              <w:rPr>
                <w:sz w:val="20"/>
                <w:szCs w:val="20"/>
              </w:rPr>
            </w:pPr>
            <w:r w:rsidRPr="004D6D7A">
              <w:rPr>
                <w:sz w:val="20"/>
                <w:szCs w:val="20"/>
              </w:rPr>
              <w:t xml:space="preserve">Masy ziemne, powstałe podczas prac budowlanych, w pierwszej kolejności należy zagospodarować w miejscu realizacji inwestycji, z dopuszczeniem </w:t>
            </w:r>
            <w:r w:rsidRPr="004D6D7A">
              <w:rPr>
                <w:sz w:val="20"/>
                <w:szCs w:val="20"/>
              </w:rPr>
              <w:lastRenderedPageBreak/>
              <w:t xml:space="preserve">usunięcia ich nadmiaru zgodnie z przepisami odrębnymi. </w:t>
            </w:r>
          </w:p>
          <w:p w14:paraId="38C6633F" w14:textId="77777777" w:rsidR="00402162" w:rsidRPr="004D6D7A" w:rsidRDefault="003F06A8" w:rsidP="00A550CD">
            <w:pPr>
              <w:rPr>
                <w:sz w:val="20"/>
                <w:szCs w:val="20"/>
              </w:rPr>
            </w:pPr>
            <w:r w:rsidRPr="004D6D7A">
              <w:rPr>
                <w:sz w:val="20"/>
                <w:szCs w:val="20"/>
              </w:rPr>
              <w:t xml:space="preserve">Ustala się zakaz: </w:t>
            </w:r>
          </w:p>
          <w:p w14:paraId="64CEC99A" w14:textId="1913625E" w:rsidR="00402162" w:rsidRPr="004D6D7A" w:rsidRDefault="003F06A8" w:rsidP="00A550CD">
            <w:pPr>
              <w:rPr>
                <w:sz w:val="20"/>
                <w:szCs w:val="20"/>
              </w:rPr>
            </w:pPr>
            <w:r w:rsidRPr="004D6D7A">
              <w:rPr>
                <w:sz w:val="20"/>
                <w:szCs w:val="20"/>
              </w:rPr>
              <w:t xml:space="preserve">1) odprowadzania nieczystości płynnych do gruntu, a także rozlewania ich na działce; </w:t>
            </w:r>
            <w:r w:rsidR="00A550CD" w:rsidRPr="004D6D7A">
              <w:rPr>
                <w:sz w:val="20"/>
                <w:szCs w:val="20"/>
              </w:rPr>
              <w:br/>
            </w:r>
            <w:r w:rsidRPr="004D6D7A">
              <w:rPr>
                <w:sz w:val="20"/>
                <w:szCs w:val="20"/>
              </w:rPr>
              <w:t xml:space="preserve">2) stosowania indywidualnych rozwiązań w zakresie odprowadzania ścieków i gospodarki odpadami; </w:t>
            </w:r>
            <w:r w:rsidR="00A550CD" w:rsidRPr="004D6D7A">
              <w:rPr>
                <w:sz w:val="20"/>
                <w:szCs w:val="20"/>
              </w:rPr>
              <w:br/>
            </w:r>
            <w:r w:rsidRPr="004D6D7A">
              <w:rPr>
                <w:sz w:val="20"/>
                <w:szCs w:val="20"/>
              </w:rPr>
              <w:t xml:space="preserve">3) stosowania nośników energii cieplnej przekraczających dopuszczalną emisję gazu i pyłu do środowiska. </w:t>
            </w:r>
          </w:p>
          <w:p w14:paraId="14BC53F8" w14:textId="77777777" w:rsidR="00402162" w:rsidRPr="004D6D7A" w:rsidRDefault="003F06A8" w:rsidP="00A550CD">
            <w:pPr>
              <w:rPr>
                <w:sz w:val="20"/>
                <w:szCs w:val="20"/>
              </w:rPr>
            </w:pPr>
            <w:r w:rsidRPr="004D6D7A">
              <w:rPr>
                <w:sz w:val="20"/>
                <w:szCs w:val="20"/>
              </w:rPr>
              <w:t xml:space="preserve">Ustala się nakaz: </w:t>
            </w:r>
          </w:p>
          <w:p w14:paraId="354A0DB2" w14:textId="0692060B" w:rsidR="00E4262B" w:rsidRPr="004D6D7A" w:rsidRDefault="003F06A8" w:rsidP="00A550CD">
            <w:pPr>
              <w:rPr>
                <w:sz w:val="20"/>
                <w:szCs w:val="20"/>
              </w:rPr>
            </w:pPr>
            <w:r w:rsidRPr="004D6D7A">
              <w:rPr>
                <w:sz w:val="20"/>
                <w:szCs w:val="20"/>
              </w:rPr>
              <w:t xml:space="preserve">1) pełnego uzbrojenia terenu, w tym zbiorowego zaopatrzenia w wodę oraz odbiór ścieków komunalnych i opadowych, z zachowaniem przepisów o ochronie środowiska; </w:t>
            </w:r>
            <w:r w:rsidR="00A550CD" w:rsidRPr="004D6D7A">
              <w:rPr>
                <w:sz w:val="20"/>
                <w:szCs w:val="20"/>
              </w:rPr>
              <w:br/>
            </w:r>
            <w:r w:rsidRPr="004D6D7A">
              <w:rPr>
                <w:sz w:val="20"/>
                <w:szCs w:val="20"/>
              </w:rPr>
              <w:t xml:space="preserve">2) przyłączenia budynków do istniejącego lub realizowanego uzbrojenia; </w:t>
            </w:r>
            <w:r w:rsidR="00A550CD" w:rsidRPr="004D6D7A">
              <w:rPr>
                <w:sz w:val="20"/>
                <w:szCs w:val="20"/>
              </w:rPr>
              <w:br/>
            </w:r>
            <w:r w:rsidRPr="004D6D7A">
              <w:rPr>
                <w:sz w:val="20"/>
                <w:szCs w:val="20"/>
              </w:rPr>
              <w:t>3) zachowania i uzupełnienia istniejącego zadrzewienia w formie szpalerowej wzdłuż ulic.</w:t>
            </w:r>
          </w:p>
        </w:tc>
      </w:tr>
      <w:tr w:rsidR="003928F8" w:rsidRPr="00BE7793" w14:paraId="1DA9A0FC" w14:textId="77777777" w:rsidTr="00345502">
        <w:trPr>
          <w:trHeight w:val="45"/>
          <w:tblCellSpacing w:w="0" w:type="auto"/>
        </w:trPr>
        <w:tc>
          <w:tcPr>
            <w:tcW w:w="3119" w:type="dxa"/>
            <w:vMerge/>
            <w:tcBorders>
              <w:top w:val="nil"/>
              <w:bottom w:val="single" w:sz="8" w:space="0" w:color="000000"/>
              <w:right w:val="single" w:sz="8" w:space="0" w:color="000000"/>
            </w:tcBorders>
          </w:tcPr>
          <w:p w14:paraId="0CB282D0"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75128A0" w14:textId="77777777" w:rsidR="00E4262B" w:rsidRPr="004D6D7A" w:rsidRDefault="00E4262B" w:rsidP="00E4262B">
            <w:pPr>
              <w:spacing w:after="0"/>
              <w:rPr>
                <w:sz w:val="20"/>
                <w:szCs w:val="20"/>
              </w:rPr>
            </w:pPr>
            <w:r w:rsidRPr="004D6D7A">
              <w:rPr>
                <w:color w:val="000000"/>
                <w:sz w:val="20"/>
                <w:szCs w:val="20"/>
              </w:rPr>
              <w:t>Wymagania dotyczące zabudowy i zagospodarowania terenu położonego na obszarach szczególnego zagrożenia powodzią</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3F904B68" w14:textId="439C1020" w:rsidR="00E4262B" w:rsidRPr="004D6D7A" w:rsidRDefault="00E4262B" w:rsidP="004B767D">
            <w:pPr>
              <w:jc w:val="center"/>
              <w:rPr>
                <w:sz w:val="20"/>
                <w:szCs w:val="20"/>
              </w:rPr>
            </w:pPr>
            <w:r w:rsidRPr="004D6D7A">
              <w:rPr>
                <w:sz w:val="20"/>
                <w:szCs w:val="20"/>
              </w:rPr>
              <w:t>Nie dotyczy</w:t>
            </w:r>
          </w:p>
        </w:tc>
      </w:tr>
      <w:tr w:rsidR="003928F8" w:rsidRPr="00BE7793" w14:paraId="7224BA59" w14:textId="77777777" w:rsidTr="00345502">
        <w:trPr>
          <w:trHeight w:val="45"/>
          <w:tblCellSpacing w:w="0" w:type="auto"/>
        </w:trPr>
        <w:tc>
          <w:tcPr>
            <w:tcW w:w="3119" w:type="dxa"/>
            <w:vMerge/>
            <w:tcBorders>
              <w:top w:val="nil"/>
              <w:bottom w:val="single" w:sz="8" w:space="0" w:color="000000"/>
              <w:right w:val="single" w:sz="8" w:space="0" w:color="000000"/>
            </w:tcBorders>
          </w:tcPr>
          <w:p w14:paraId="0F91B2F9"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38BC29C" w14:textId="77777777" w:rsidR="00E4262B" w:rsidRPr="004D6D7A" w:rsidRDefault="00E4262B" w:rsidP="00E4262B">
            <w:pPr>
              <w:spacing w:after="0"/>
              <w:rPr>
                <w:sz w:val="20"/>
                <w:szCs w:val="20"/>
              </w:rPr>
            </w:pPr>
            <w:r w:rsidRPr="004D6D7A">
              <w:rPr>
                <w:color w:val="000000"/>
                <w:sz w:val="20"/>
                <w:szCs w:val="20"/>
              </w:rPr>
              <w:t>Warunki ochrony dziedzictwa kulturowego i zabytków oraz dóbr kultury współczesnej</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03B5D7CE" w14:textId="47B9436E" w:rsidR="00E4262B" w:rsidRPr="004D6D7A" w:rsidRDefault="00A56C54" w:rsidP="004E6657">
            <w:pPr>
              <w:jc w:val="center"/>
              <w:rPr>
                <w:sz w:val="20"/>
                <w:szCs w:val="20"/>
              </w:rPr>
            </w:pPr>
            <w:r w:rsidRPr="004D6D7A">
              <w:rPr>
                <w:sz w:val="20"/>
                <w:szCs w:val="20"/>
              </w:rPr>
              <w:t>W przypadku natrafienia w trakcie realizacji prac ziemnych na przedmiot posiadający cechy zabytku, zastosowanie mają przepisy ustawy o ochronie zabytków i opiece nad zabytkami.</w:t>
            </w:r>
          </w:p>
        </w:tc>
      </w:tr>
      <w:tr w:rsidR="003928F8" w:rsidRPr="00BE7793" w14:paraId="65535F37" w14:textId="77777777" w:rsidTr="00345502">
        <w:trPr>
          <w:trHeight w:val="45"/>
          <w:tblCellSpacing w:w="0" w:type="auto"/>
        </w:trPr>
        <w:tc>
          <w:tcPr>
            <w:tcW w:w="3119" w:type="dxa"/>
            <w:vMerge/>
            <w:tcBorders>
              <w:top w:val="nil"/>
              <w:bottom w:val="single" w:sz="8" w:space="0" w:color="000000"/>
              <w:right w:val="single" w:sz="8" w:space="0" w:color="000000"/>
            </w:tcBorders>
          </w:tcPr>
          <w:p w14:paraId="060DD13C"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B20A9A9" w14:textId="77777777" w:rsidR="00E4262B" w:rsidRPr="004D6D7A" w:rsidRDefault="00E4262B" w:rsidP="00E4262B">
            <w:pPr>
              <w:spacing w:after="0"/>
              <w:rPr>
                <w:sz w:val="20"/>
                <w:szCs w:val="20"/>
              </w:rPr>
            </w:pPr>
            <w:r w:rsidRPr="004D6D7A">
              <w:rPr>
                <w:color w:val="000000"/>
                <w:sz w:val="20"/>
                <w:szCs w:val="20"/>
              </w:rPr>
              <w:t>Wymagania dotyczące ochrony innych terenów lub obiektów podlegających ochronie na podstawie przepisów odrębnych</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0F19A173" w14:textId="71624590" w:rsidR="00E4262B" w:rsidRPr="004D6D7A" w:rsidRDefault="00E4262B" w:rsidP="004B767D">
            <w:pPr>
              <w:jc w:val="center"/>
              <w:rPr>
                <w:sz w:val="20"/>
                <w:szCs w:val="20"/>
              </w:rPr>
            </w:pPr>
            <w:r w:rsidRPr="004D6D7A">
              <w:rPr>
                <w:sz w:val="20"/>
                <w:szCs w:val="20"/>
              </w:rPr>
              <w:t>Nie dotyczy</w:t>
            </w:r>
          </w:p>
        </w:tc>
      </w:tr>
      <w:tr w:rsidR="003928F8" w:rsidRPr="00BE7793" w14:paraId="294B7490" w14:textId="77777777" w:rsidTr="00345502">
        <w:trPr>
          <w:trHeight w:val="45"/>
          <w:tblCellSpacing w:w="0" w:type="auto"/>
        </w:trPr>
        <w:tc>
          <w:tcPr>
            <w:tcW w:w="3119" w:type="dxa"/>
            <w:vMerge/>
            <w:tcBorders>
              <w:top w:val="nil"/>
              <w:bottom w:val="single" w:sz="8" w:space="0" w:color="000000"/>
              <w:right w:val="single" w:sz="8" w:space="0" w:color="000000"/>
            </w:tcBorders>
          </w:tcPr>
          <w:p w14:paraId="4A78A1CA"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0E38FF0" w14:textId="77777777" w:rsidR="00E4262B" w:rsidRPr="004D6D7A" w:rsidRDefault="00E4262B" w:rsidP="00E4262B">
            <w:pPr>
              <w:spacing w:after="0"/>
              <w:rPr>
                <w:sz w:val="20"/>
                <w:szCs w:val="20"/>
              </w:rPr>
            </w:pPr>
            <w:r w:rsidRPr="004D6D7A">
              <w:rPr>
                <w:color w:val="000000"/>
                <w:sz w:val="20"/>
                <w:szCs w:val="20"/>
              </w:rPr>
              <w:t>Warunki i szczegółowe zasady obsługi w zakresie komunikacji</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05159D98" w14:textId="51545EAD" w:rsidR="00031BE4" w:rsidRPr="004D6D7A" w:rsidRDefault="00031BE4" w:rsidP="004D6D7A">
            <w:pPr>
              <w:jc w:val="center"/>
              <w:rPr>
                <w:sz w:val="20"/>
                <w:szCs w:val="20"/>
              </w:rPr>
            </w:pPr>
            <w:r w:rsidRPr="004D6D7A">
              <w:rPr>
                <w:sz w:val="20"/>
                <w:szCs w:val="20"/>
              </w:rPr>
              <w:t>obsługa komunikacyjna terenu: z terenu drogi 33KDD</w:t>
            </w:r>
          </w:p>
        </w:tc>
      </w:tr>
      <w:tr w:rsidR="003928F8" w:rsidRPr="00BE7793" w14:paraId="7D4D807A" w14:textId="77777777" w:rsidTr="00345502">
        <w:trPr>
          <w:trHeight w:val="45"/>
          <w:tblCellSpacing w:w="0" w:type="auto"/>
        </w:trPr>
        <w:tc>
          <w:tcPr>
            <w:tcW w:w="3119" w:type="dxa"/>
            <w:vMerge/>
            <w:tcBorders>
              <w:top w:val="nil"/>
              <w:bottom w:val="single" w:sz="8" w:space="0" w:color="000000"/>
              <w:right w:val="single" w:sz="8" w:space="0" w:color="000000"/>
            </w:tcBorders>
          </w:tcPr>
          <w:p w14:paraId="4EC36F76"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A97CFB8" w14:textId="77777777" w:rsidR="00E4262B" w:rsidRPr="004D6D7A" w:rsidRDefault="00E4262B" w:rsidP="00E4262B">
            <w:pPr>
              <w:spacing w:after="0"/>
              <w:rPr>
                <w:sz w:val="20"/>
                <w:szCs w:val="20"/>
              </w:rPr>
            </w:pPr>
            <w:r w:rsidRPr="004D6D7A">
              <w:rPr>
                <w:color w:val="000000"/>
                <w:sz w:val="20"/>
                <w:szCs w:val="20"/>
              </w:rPr>
              <w:t>Warunki i szczegółowe zasady obsługi w zakresie infrastruktury technicznej</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4818A634" w14:textId="47C7E080" w:rsidR="00242B21" w:rsidRPr="004D6D7A" w:rsidRDefault="00242B21" w:rsidP="001A53D6">
            <w:pPr>
              <w:rPr>
                <w:sz w:val="20"/>
                <w:szCs w:val="20"/>
              </w:rPr>
            </w:pPr>
            <w:r w:rsidRPr="004D6D7A">
              <w:rPr>
                <w:sz w:val="20"/>
                <w:szCs w:val="20"/>
              </w:rPr>
              <w:t xml:space="preserve">W zakresie zaopatrzenia w media: </w:t>
            </w:r>
          </w:p>
          <w:p w14:paraId="4B2DD160" w14:textId="2C1178E6" w:rsidR="00242B21" w:rsidRPr="004D6D7A" w:rsidRDefault="00242B21" w:rsidP="001A53D6">
            <w:pPr>
              <w:rPr>
                <w:sz w:val="20"/>
                <w:szCs w:val="20"/>
              </w:rPr>
            </w:pPr>
            <w:r w:rsidRPr="004D6D7A">
              <w:rPr>
                <w:sz w:val="20"/>
                <w:szCs w:val="20"/>
              </w:rPr>
              <w:t xml:space="preserve">a) w wodę - z miejskiej sieci wodociągowej, </w:t>
            </w:r>
            <w:r w:rsidRPr="004D6D7A">
              <w:rPr>
                <w:sz w:val="20"/>
                <w:szCs w:val="20"/>
              </w:rPr>
              <w:br/>
              <w:t xml:space="preserve">b) zaopatrzenie w energię elektryczną - z sieci elektroenergetycznej lub/i ze źródeł indywidualnych, zgodnych z przepisami odrębnymi, </w:t>
            </w:r>
            <w:r w:rsidRPr="004D6D7A">
              <w:rPr>
                <w:sz w:val="20"/>
                <w:szCs w:val="20"/>
              </w:rPr>
              <w:br/>
              <w:t xml:space="preserve">c) zaopatrzenie w gaz - z sieci gazowej lub bezprzewodowo, dopuszcza się budowę, przebudowę i rozbudowę sieci gazowej, należy zachować normatywne odległości projektowanych urządzeń i obiektów od sieci gazowej na podstawie przepisów odrębnych, </w:t>
            </w:r>
            <w:r w:rsidRPr="004D6D7A">
              <w:rPr>
                <w:sz w:val="20"/>
                <w:szCs w:val="20"/>
              </w:rPr>
              <w:br/>
              <w:t xml:space="preserve">d) ogrzewanie - z miejskiej sieci ciepłowniczej lub </w:t>
            </w:r>
            <w:r w:rsidRPr="004D6D7A">
              <w:rPr>
                <w:sz w:val="20"/>
                <w:szCs w:val="20"/>
              </w:rPr>
              <w:lastRenderedPageBreak/>
              <w:t xml:space="preserve">ze źródeł energii odnawialnej, </w:t>
            </w:r>
            <w:r w:rsidRPr="004D6D7A">
              <w:rPr>
                <w:sz w:val="20"/>
                <w:szCs w:val="20"/>
              </w:rPr>
              <w:br/>
              <w:t xml:space="preserve">e) telekomunikacja - zaopatrzenie danego terenu w sieci teletechniczne z istniejących i projektowanych sieci telekomunikacyjnych, szczególnie z sieci szerokopasmowych i światłowodowych, </w:t>
            </w:r>
            <w:r w:rsidRPr="004D6D7A">
              <w:rPr>
                <w:sz w:val="20"/>
                <w:szCs w:val="20"/>
              </w:rPr>
              <w:br/>
              <w:t xml:space="preserve">f) odprowadzenie ścieków sanitarnych - do kanalizacji sanitarnej, </w:t>
            </w:r>
            <w:r w:rsidRPr="004D6D7A">
              <w:rPr>
                <w:sz w:val="20"/>
                <w:szCs w:val="20"/>
              </w:rPr>
              <w:br/>
              <w:t xml:space="preserve">g) odprowadzenie wód opadowych i roztopowych - jako podstawowy sposób zagospodarowania wód opadowych i roztopowych dla nowych form zagospodarowania terenu ustala się retencjonowanie wód na własnym terenie, w sposób powierzchniowy w granicach inwestycji lub do szczelnego zbiornika, dopuszcza się do kanalizacji deszczowej na warunkach gestora tej sieci; wody opadowe lub roztopowe z powierzchni dróg, parkingów przed odprowadzeniem do odbiornika należy oczyścić w stopniu wymaganym przepisami odrębnymi; wyklucza się możliwość odprowadzania tych wód do ziemi lub rowów na obszar kolejowy i wykorzystania do tego celu kolejowych urządzeń odwadniających; </w:t>
            </w:r>
            <w:r w:rsidR="00DA1AEE" w:rsidRPr="004D6D7A">
              <w:rPr>
                <w:sz w:val="20"/>
                <w:szCs w:val="20"/>
              </w:rPr>
              <w:br/>
            </w:r>
            <w:r w:rsidRPr="004D6D7A">
              <w:rPr>
                <w:sz w:val="20"/>
                <w:szCs w:val="20"/>
              </w:rPr>
              <w:t>h) gospodarka odpadami - zgodnie z obowiązującymi przepisami;</w:t>
            </w:r>
          </w:p>
          <w:p w14:paraId="6D08951E" w14:textId="6F1357E0" w:rsidR="00E4262B" w:rsidRPr="004D6D7A" w:rsidRDefault="00242B21" w:rsidP="001A53D6">
            <w:pPr>
              <w:rPr>
                <w:sz w:val="20"/>
                <w:szCs w:val="20"/>
              </w:rPr>
            </w:pPr>
            <w:r w:rsidRPr="004D6D7A">
              <w:rPr>
                <w:sz w:val="20"/>
                <w:szCs w:val="20"/>
              </w:rPr>
              <w:t>D</w:t>
            </w:r>
            <w:r w:rsidR="00031BE4" w:rsidRPr="004D6D7A">
              <w:rPr>
                <w:sz w:val="20"/>
                <w:szCs w:val="20"/>
              </w:rPr>
              <w:t>odatkowo zaopatrzenie w energię cieplną dopuszcza się z sieci gazowej lub innego niskoemisyjnego źródła.</w:t>
            </w:r>
          </w:p>
        </w:tc>
      </w:tr>
      <w:tr w:rsidR="003928F8" w:rsidRPr="00BE7793" w14:paraId="2CCE2E4E"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2146CDC5" w14:textId="77777777" w:rsidR="00E4262B" w:rsidRPr="004D6D7A" w:rsidRDefault="00E4262B" w:rsidP="00E4262B">
            <w:pPr>
              <w:spacing w:after="0"/>
              <w:rPr>
                <w:sz w:val="20"/>
                <w:szCs w:val="20"/>
              </w:rPr>
            </w:pPr>
            <w:r w:rsidRPr="004D6D7A">
              <w:rPr>
                <w:color w:val="000000"/>
                <w:sz w:val="20"/>
                <w:szCs w:val="20"/>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Pr="004D6D7A">
              <w:rPr>
                <w:color w:val="000000"/>
                <w:sz w:val="20"/>
                <w:szCs w:val="20"/>
                <w:vertAlign w:val="superscript"/>
              </w:rPr>
              <w:t>5</w:t>
            </w:r>
            <w:r w:rsidRPr="004D6D7A">
              <w:rPr>
                <w:color w:val="000000"/>
                <w:sz w:val="20"/>
                <w:szCs w:val="20"/>
              </w:rPr>
              <w:t>)</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450C560" w14:textId="77777777" w:rsidR="00E4262B" w:rsidRPr="004D6D7A" w:rsidRDefault="00E4262B" w:rsidP="00E4262B">
            <w:pPr>
              <w:spacing w:after="0"/>
              <w:rPr>
                <w:sz w:val="20"/>
                <w:szCs w:val="20"/>
              </w:rPr>
            </w:pPr>
            <w:r w:rsidRPr="004D6D7A">
              <w:rPr>
                <w:color w:val="000000"/>
                <w:sz w:val="20"/>
                <w:szCs w:val="20"/>
              </w:rPr>
              <w:t>Przeznaczenie terenu</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00613BFE" w14:textId="77777777" w:rsidR="00554D6C" w:rsidRPr="004D6D7A" w:rsidRDefault="00BD6526" w:rsidP="004E6657">
            <w:pPr>
              <w:pStyle w:val="Akapitzlist"/>
              <w:numPr>
                <w:ilvl w:val="0"/>
                <w:numId w:val="22"/>
              </w:numPr>
              <w:rPr>
                <w:sz w:val="20"/>
                <w:szCs w:val="20"/>
              </w:rPr>
            </w:pPr>
            <w:r w:rsidRPr="004D6D7A">
              <w:rPr>
                <w:sz w:val="20"/>
                <w:szCs w:val="20"/>
              </w:rPr>
              <w:t>teren zabudowy mieszkaniowej wielorodzinnej</w:t>
            </w:r>
            <w:r w:rsidR="00554D6C" w:rsidRPr="004D6D7A">
              <w:rPr>
                <w:sz w:val="20"/>
                <w:szCs w:val="20"/>
              </w:rPr>
              <w:t>;</w:t>
            </w:r>
          </w:p>
          <w:p w14:paraId="412E77E6" w14:textId="77777777" w:rsidR="00E4262B" w:rsidRPr="004D6D7A" w:rsidRDefault="00554D6C" w:rsidP="004E6657">
            <w:pPr>
              <w:pStyle w:val="Akapitzlist"/>
              <w:numPr>
                <w:ilvl w:val="0"/>
                <w:numId w:val="22"/>
              </w:numPr>
              <w:rPr>
                <w:sz w:val="20"/>
                <w:szCs w:val="20"/>
              </w:rPr>
            </w:pPr>
            <w:r w:rsidRPr="004D6D7A">
              <w:rPr>
                <w:sz w:val="20"/>
                <w:szCs w:val="20"/>
              </w:rPr>
              <w:t>teren usług handlu</w:t>
            </w:r>
            <w:r w:rsidR="009B62E3" w:rsidRPr="004D6D7A">
              <w:rPr>
                <w:sz w:val="20"/>
                <w:szCs w:val="20"/>
              </w:rPr>
              <w:t>;</w:t>
            </w:r>
          </w:p>
          <w:p w14:paraId="088F0F49" w14:textId="7BCE6CE7" w:rsidR="001F7573" w:rsidRPr="004D6D7A" w:rsidRDefault="001F7573" w:rsidP="004E6657">
            <w:pPr>
              <w:pStyle w:val="Akapitzlist"/>
              <w:numPr>
                <w:ilvl w:val="0"/>
                <w:numId w:val="22"/>
              </w:numPr>
              <w:rPr>
                <w:sz w:val="20"/>
                <w:szCs w:val="20"/>
              </w:rPr>
            </w:pPr>
            <w:r w:rsidRPr="004D6D7A">
              <w:rPr>
                <w:sz w:val="20"/>
                <w:szCs w:val="20"/>
              </w:rPr>
              <w:t>teren garażu;</w:t>
            </w:r>
          </w:p>
          <w:p w14:paraId="19B0C04E" w14:textId="675BE8F1" w:rsidR="009B62E3" w:rsidRPr="004D6D7A" w:rsidRDefault="009B62E3" w:rsidP="004E6657">
            <w:pPr>
              <w:pStyle w:val="Akapitzlist"/>
              <w:numPr>
                <w:ilvl w:val="0"/>
                <w:numId w:val="22"/>
              </w:numPr>
              <w:rPr>
                <w:sz w:val="20"/>
                <w:szCs w:val="20"/>
              </w:rPr>
            </w:pPr>
            <w:r w:rsidRPr="004D6D7A">
              <w:rPr>
                <w:sz w:val="20"/>
                <w:szCs w:val="20"/>
              </w:rPr>
              <w:t>teren gazownictwa</w:t>
            </w:r>
          </w:p>
        </w:tc>
      </w:tr>
      <w:tr w:rsidR="003928F8" w:rsidRPr="00BE7793" w14:paraId="2700E30B" w14:textId="31A850C3" w:rsidTr="00345502">
        <w:trPr>
          <w:trHeight w:val="45"/>
          <w:tblCellSpacing w:w="0" w:type="auto"/>
        </w:trPr>
        <w:tc>
          <w:tcPr>
            <w:tcW w:w="3119" w:type="dxa"/>
            <w:vMerge/>
            <w:tcBorders>
              <w:top w:val="nil"/>
              <w:bottom w:val="single" w:sz="8" w:space="0" w:color="000000"/>
              <w:right w:val="single" w:sz="8" w:space="0" w:color="000000"/>
            </w:tcBorders>
          </w:tcPr>
          <w:p w14:paraId="7CD32220"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AD123E1" w14:textId="77777777" w:rsidR="00E4262B" w:rsidRPr="004D6D7A" w:rsidRDefault="00E4262B" w:rsidP="00E4262B">
            <w:pPr>
              <w:spacing w:after="0"/>
              <w:rPr>
                <w:sz w:val="20"/>
                <w:szCs w:val="20"/>
              </w:rPr>
            </w:pPr>
            <w:r w:rsidRPr="004D6D7A">
              <w:rPr>
                <w:color w:val="000000"/>
                <w:sz w:val="20"/>
                <w:szCs w:val="20"/>
              </w:rPr>
              <w:t>Maksymalna intensywność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23A532D0" w14:textId="77777777" w:rsidR="00E4262B" w:rsidRPr="004D6D7A" w:rsidRDefault="00BD6526" w:rsidP="004E6657">
            <w:pPr>
              <w:pStyle w:val="Akapitzlist"/>
              <w:numPr>
                <w:ilvl w:val="0"/>
                <w:numId w:val="23"/>
              </w:numPr>
              <w:rPr>
                <w:sz w:val="20"/>
                <w:szCs w:val="20"/>
              </w:rPr>
            </w:pPr>
            <w:r w:rsidRPr="004D6D7A">
              <w:rPr>
                <w:sz w:val="20"/>
                <w:szCs w:val="20"/>
              </w:rPr>
              <w:t>maksymalna - 2,1</w:t>
            </w:r>
            <w:r w:rsidR="00554D6C" w:rsidRPr="004D6D7A">
              <w:rPr>
                <w:sz w:val="20"/>
                <w:szCs w:val="20"/>
              </w:rPr>
              <w:t>;</w:t>
            </w:r>
          </w:p>
          <w:p w14:paraId="05157535" w14:textId="77777777" w:rsidR="00554D6C" w:rsidRPr="004D6D7A" w:rsidRDefault="00554D6C" w:rsidP="004E6657">
            <w:pPr>
              <w:pStyle w:val="Akapitzlist"/>
              <w:numPr>
                <w:ilvl w:val="0"/>
                <w:numId w:val="23"/>
              </w:numPr>
              <w:rPr>
                <w:sz w:val="20"/>
                <w:szCs w:val="20"/>
              </w:rPr>
            </w:pPr>
            <w:r w:rsidRPr="004D6D7A">
              <w:rPr>
                <w:sz w:val="20"/>
                <w:szCs w:val="20"/>
              </w:rPr>
              <w:t>maksymalna - 0,3</w:t>
            </w:r>
            <w:r w:rsidR="001F7573" w:rsidRPr="004D6D7A">
              <w:rPr>
                <w:sz w:val="20"/>
                <w:szCs w:val="20"/>
              </w:rPr>
              <w:t>;</w:t>
            </w:r>
          </w:p>
          <w:p w14:paraId="212F198A" w14:textId="233E2535" w:rsidR="001F7573" w:rsidRPr="004D6D7A" w:rsidRDefault="001F7573" w:rsidP="004E6657">
            <w:pPr>
              <w:pStyle w:val="Akapitzlist"/>
              <w:numPr>
                <w:ilvl w:val="0"/>
                <w:numId w:val="23"/>
              </w:numPr>
              <w:rPr>
                <w:sz w:val="20"/>
                <w:szCs w:val="20"/>
              </w:rPr>
            </w:pPr>
            <w:r w:rsidRPr="004D6D7A">
              <w:rPr>
                <w:sz w:val="20"/>
                <w:szCs w:val="20"/>
              </w:rPr>
              <w:t>maksymalna - 0,5</w:t>
            </w:r>
          </w:p>
        </w:tc>
      </w:tr>
      <w:tr w:rsidR="003928F8" w:rsidRPr="00BE7793" w14:paraId="486AB8D7" w14:textId="77777777" w:rsidTr="00345502">
        <w:trPr>
          <w:trHeight w:val="45"/>
          <w:tblCellSpacing w:w="0" w:type="auto"/>
        </w:trPr>
        <w:tc>
          <w:tcPr>
            <w:tcW w:w="3119" w:type="dxa"/>
            <w:vMerge/>
            <w:tcBorders>
              <w:top w:val="nil"/>
              <w:bottom w:val="single" w:sz="8" w:space="0" w:color="000000"/>
              <w:right w:val="single" w:sz="8" w:space="0" w:color="000000"/>
            </w:tcBorders>
          </w:tcPr>
          <w:p w14:paraId="6812DD5B"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6C2ED63" w14:textId="77777777" w:rsidR="00E4262B" w:rsidRPr="004D6D7A" w:rsidRDefault="00E4262B" w:rsidP="00E4262B">
            <w:pPr>
              <w:spacing w:after="0"/>
              <w:rPr>
                <w:sz w:val="20"/>
                <w:szCs w:val="20"/>
              </w:rPr>
            </w:pPr>
            <w:r w:rsidRPr="004D6D7A">
              <w:rPr>
                <w:color w:val="000000"/>
                <w:sz w:val="20"/>
                <w:szCs w:val="20"/>
              </w:rPr>
              <w:t>Maksymalna i minimalna nadziemna intensywność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7B227915" w14:textId="410D422F" w:rsidR="00E4262B" w:rsidRPr="004D6D7A" w:rsidRDefault="00BD6526" w:rsidP="004E6657">
            <w:pPr>
              <w:pStyle w:val="Akapitzlist"/>
              <w:numPr>
                <w:ilvl w:val="0"/>
                <w:numId w:val="24"/>
              </w:numPr>
              <w:rPr>
                <w:sz w:val="20"/>
                <w:szCs w:val="20"/>
              </w:rPr>
            </w:pPr>
            <w:r w:rsidRPr="004D6D7A">
              <w:rPr>
                <w:sz w:val="20"/>
                <w:szCs w:val="20"/>
              </w:rPr>
              <w:t>minimalna - 0,1</w:t>
            </w:r>
            <w:r w:rsidR="00554D6C" w:rsidRPr="004D6D7A">
              <w:rPr>
                <w:sz w:val="20"/>
                <w:szCs w:val="20"/>
              </w:rPr>
              <w:t>,</w:t>
            </w:r>
            <w:r w:rsidRPr="004D6D7A">
              <w:rPr>
                <w:sz w:val="20"/>
                <w:szCs w:val="20"/>
              </w:rPr>
              <w:t xml:space="preserve"> maksymalna - 2,1</w:t>
            </w:r>
            <w:r w:rsidR="00554D6C" w:rsidRPr="004D6D7A">
              <w:rPr>
                <w:sz w:val="20"/>
                <w:szCs w:val="20"/>
              </w:rPr>
              <w:t>;</w:t>
            </w:r>
          </w:p>
          <w:p w14:paraId="60B59029" w14:textId="77777777" w:rsidR="00554D6C" w:rsidRPr="004D6D7A" w:rsidRDefault="00554D6C" w:rsidP="004E6657">
            <w:pPr>
              <w:pStyle w:val="Akapitzlist"/>
              <w:numPr>
                <w:ilvl w:val="0"/>
                <w:numId w:val="24"/>
              </w:numPr>
              <w:rPr>
                <w:sz w:val="20"/>
                <w:szCs w:val="20"/>
              </w:rPr>
            </w:pPr>
            <w:r w:rsidRPr="004D6D7A">
              <w:rPr>
                <w:sz w:val="20"/>
                <w:szCs w:val="20"/>
              </w:rPr>
              <w:t>minimalna - 0,1, maksymalna - 0,3</w:t>
            </w:r>
          </w:p>
          <w:p w14:paraId="6F19B612" w14:textId="0844D31D" w:rsidR="001F7573" w:rsidRPr="004D6D7A" w:rsidRDefault="001F7573" w:rsidP="004E6657">
            <w:pPr>
              <w:pStyle w:val="Akapitzlist"/>
              <w:numPr>
                <w:ilvl w:val="0"/>
                <w:numId w:val="24"/>
              </w:numPr>
              <w:rPr>
                <w:sz w:val="20"/>
                <w:szCs w:val="20"/>
              </w:rPr>
            </w:pPr>
            <w:r w:rsidRPr="004D6D7A">
              <w:rPr>
                <w:sz w:val="20"/>
                <w:szCs w:val="20"/>
              </w:rPr>
              <w:t>minimalna - 0,1, maksymalna - 0,5</w:t>
            </w:r>
          </w:p>
        </w:tc>
      </w:tr>
      <w:tr w:rsidR="003928F8" w:rsidRPr="00BE7793" w14:paraId="3DD8CD1B" w14:textId="77777777" w:rsidTr="00345502">
        <w:trPr>
          <w:trHeight w:val="45"/>
          <w:tblCellSpacing w:w="0" w:type="auto"/>
        </w:trPr>
        <w:tc>
          <w:tcPr>
            <w:tcW w:w="3119" w:type="dxa"/>
            <w:vMerge/>
            <w:tcBorders>
              <w:top w:val="nil"/>
              <w:bottom w:val="single" w:sz="8" w:space="0" w:color="000000"/>
              <w:right w:val="single" w:sz="8" w:space="0" w:color="000000"/>
            </w:tcBorders>
          </w:tcPr>
          <w:p w14:paraId="4141E3F3"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7D2C4EF" w14:textId="77777777" w:rsidR="00E4262B" w:rsidRPr="004D6D7A" w:rsidRDefault="00E4262B" w:rsidP="00E4262B">
            <w:pPr>
              <w:spacing w:after="0"/>
              <w:rPr>
                <w:sz w:val="20"/>
                <w:szCs w:val="20"/>
              </w:rPr>
            </w:pPr>
            <w:r w:rsidRPr="004D6D7A">
              <w:rPr>
                <w:color w:val="000000"/>
                <w:sz w:val="20"/>
                <w:szCs w:val="20"/>
              </w:rPr>
              <w:t>Maksymalna powierzchnia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3B15F5A6" w14:textId="77777777" w:rsidR="00E4262B" w:rsidRPr="004D6D7A" w:rsidRDefault="00BD6526" w:rsidP="004E6657">
            <w:pPr>
              <w:pStyle w:val="Akapitzlist"/>
              <w:numPr>
                <w:ilvl w:val="0"/>
                <w:numId w:val="25"/>
              </w:numPr>
              <w:rPr>
                <w:sz w:val="20"/>
                <w:szCs w:val="20"/>
              </w:rPr>
            </w:pPr>
            <w:r w:rsidRPr="004D6D7A">
              <w:rPr>
                <w:sz w:val="20"/>
                <w:szCs w:val="20"/>
              </w:rPr>
              <w:t>35% obowiązuje dla nowych inwestycji, dla działek zabudowanych ustala się zakaz dogęszczania zabudowy;</w:t>
            </w:r>
          </w:p>
          <w:p w14:paraId="7A0F7C57" w14:textId="77777777" w:rsidR="00554D6C" w:rsidRPr="004D6D7A" w:rsidRDefault="005F0994" w:rsidP="004E6657">
            <w:pPr>
              <w:pStyle w:val="Akapitzlist"/>
              <w:numPr>
                <w:ilvl w:val="0"/>
                <w:numId w:val="25"/>
              </w:numPr>
              <w:rPr>
                <w:sz w:val="20"/>
                <w:szCs w:val="20"/>
              </w:rPr>
            </w:pPr>
            <w:r w:rsidRPr="004D6D7A">
              <w:rPr>
                <w:sz w:val="20"/>
                <w:szCs w:val="20"/>
              </w:rPr>
              <w:t>30%</w:t>
            </w:r>
            <w:r w:rsidR="004269AE" w:rsidRPr="004D6D7A">
              <w:rPr>
                <w:sz w:val="20"/>
                <w:szCs w:val="20"/>
              </w:rPr>
              <w:t>;</w:t>
            </w:r>
          </w:p>
          <w:p w14:paraId="0BD9CEA2" w14:textId="17EDEBEB" w:rsidR="004269AE" w:rsidRPr="004D6D7A" w:rsidRDefault="004269AE" w:rsidP="004E6657">
            <w:pPr>
              <w:pStyle w:val="Akapitzlist"/>
              <w:numPr>
                <w:ilvl w:val="0"/>
                <w:numId w:val="25"/>
              </w:numPr>
              <w:rPr>
                <w:sz w:val="20"/>
                <w:szCs w:val="20"/>
              </w:rPr>
            </w:pPr>
            <w:r w:rsidRPr="004D6D7A">
              <w:rPr>
                <w:sz w:val="20"/>
                <w:szCs w:val="20"/>
              </w:rPr>
              <w:t>terenu 50%, w przypadku podzielenia terenu na działki mieszczące boksy garażowe, dla każdej działki dopuszcza się odbudowę garażu w granicach wyznaczonych linii zabudowy;</w:t>
            </w:r>
          </w:p>
        </w:tc>
      </w:tr>
      <w:tr w:rsidR="003928F8" w:rsidRPr="00BE7793" w14:paraId="51A40269" w14:textId="77777777" w:rsidTr="00345502">
        <w:trPr>
          <w:trHeight w:val="45"/>
          <w:tblCellSpacing w:w="0" w:type="auto"/>
        </w:trPr>
        <w:tc>
          <w:tcPr>
            <w:tcW w:w="3119" w:type="dxa"/>
            <w:vMerge/>
            <w:tcBorders>
              <w:top w:val="nil"/>
              <w:bottom w:val="single" w:sz="8" w:space="0" w:color="000000"/>
              <w:right w:val="single" w:sz="8" w:space="0" w:color="000000"/>
            </w:tcBorders>
          </w:tcPr>
          <w:p w14:paraId="41415DC0"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3B65988" w14:textId="77777777" w:rsidR="00E4262B" w:rsidRPr="004D6D7A" w:rsidRDefault="00E4262B" w:rsidP="00E4262B">
            <w:pPr>
              <w:spacing w:after="0"/>
              <w:rPr>
                <w:sz w:val="20"/>
                <w:szCs w:val="20"/>
              </w:rPr>
            </w:pPr>
            <w:r w:rsidRPr="004D6D7A">
              <w:rPr>
                <w:color w:val="000000"/>
                <w:sz w:val="20"/>
                <w:szCs w:val="20"/>
              </w:rPr>
              <w:t>Maksymalna wysokość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659AEEB4" w14:textId="62A302CE" w:rsidR="00E4262B" w:rsidRPr="004D6D7A" w:rsidRDefault="00BD6526" w:rsidP="004E6657">
            <w:pPr>
              <w:pStyle w:val="Akapitzlist"/>
              <w:numPr>
                <w:ilvl w:val="0"/>
                <w:numId w:val="26"/>
              </w:numPr>
              <w:rPr>
                <w:sz w:val="20"/>
                <w:szCs w:val="20"/>
              </w:rPr>
            </w:pPr>
            <w:r w:rsidRPr="004D6D7A">
              <w:rPr>
                <w:sz w:val="20"/>
                <w:szCs w:val="20"/>
              </w:rPr>
              <w:t>17,0 m - nie więcej niż 5 kondygnacji nadziemnych, dopuszcza się 1 kondygnację podziemną; zakaz podwyższania istniejącej zabudowy, dla działki 1/171 dopuszcza się 17,5 m</w:t>
            </w:r>
            <w:r w:rsidR="001C3CF8" w:rsidRPr="004D6D7A">
              <w:rPr>
                <w:sz w:val="20"/>
                <w:szCs w:val="20"/>
              </w:rPr>
              <w:t>;</w:t>
            </w:r>
          </w:p>
          <w:p w14:paraId="42980872" w14:textId="77777777" w:rsidR="005F0994" w:rsidRPr="004D6D7A" w:rsidRDefault="005F0994" w:rsidP="004E6657">
            <w:pPr>
              <w:pStyle w:val="Akapitzlist"/>
              <w:numPr>
                <w:ilvl w:val="0"/>
                <w:numId w:val="26"/>
              </w:numPr>
              <w:rPr>
                <w:sz w:val="20"/>
                <w:szCs w:val="20"/>
              </w:rPr>
            </w:pPr>
            <w:r w:rsidRPr="004D6D7A">
              <w:rPr>
                <w:sz w:val="20"/>
                <w:szCs w:val="20"/>
              </w:rPr>
              <w:t>3,5 m - nie więcej niż 1 kondygnacja nadziemna</w:t>
            </w:r>
            <w:r w:rsidR="001C3CF8" w:rsidRPr="004D6D7A">
              <w:rPr>
                <w:sz w:val="20"/>
                <w:szCs w:val="20"/>
              </w:rPr>
              <w:t>;</w:t>
            </w:r>
          </w:p>
          <w:p w14:paraId="05957487" w14:textId="58A52C72" w:rsidR="001C3CF8" w:rsidRPr="004D6D7A" w:rsidRDefault="001C3CF8" w:rsidP="004E6657">
            <w:pPr>
              <w:pStyle w:val="Akapitzlist"/>
              <w:numPr>
                <w:ilvl w:val="0"/>
                <w:numId w:val="26"/>
              </w:numPr>
              <w:rPr>
                <w:sz w:val="20"/>
                <w:szCs w:val="20"/>
              </w:rPr>
            </w:pPr>
            <w:r w:rsidRPr="004D6D7A">
              <w:rPr>
                <w:sz w:val="20"/>
                <w:szCs w:val="20"/>
              </w:rPr>
              <w:t>3,5 m - nie więcej niż 1 kondygnacja nadziemna,</w:t>
            </w:r>
          </w:p>
        </w:tc>
      </w:tr>
      <w:tr w:rsidR="003928F8" w:rsidRPr="00BE7793" w14:paraId="44C60FF2" w14:textId="77777777" w:rsidTr="00345502">
        <w:trPr>
          <w:trHeight w:val="45"/>
          <w:tblCellSpacing w:w="0" w:type="auto"/>
        </w:trPr>
        <w:tc>
          <w:tcPr>
            <w:tcW w:w="3119" w:type="dxa"/>
            <w:vMerge/>
            <w:tcBorders>
              <w:top w:val="nil"/>
              <w:bottom w:val="single" w:sz="8" w:space="0" w:color="000000"/>
              <w:right w:val="single" w:sz="8" w:space="0" w:color="000000"/>
            </w:tcBorders>
          </w:tcPr>
          <w:p w14:paraId="1BFD45CC"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E6B59CE" w14:textId="77777777" w:rsidR="00E4262B" w:rsidRPr="004D6D7A" w:rsidRDefault="00E4262B" w:rsidP="00E4262B">
            <w:pPr>
              <w:spacing w:after="0"/>
              <w:rPr>
                <w:sz w:val="20"/>
                <w:szCs w:val="20"/>
              </w:rPr>
            </w:pPr>
            <w:r w:rsidRPr="004D6D7A">
              <w:rPr>
                <w:color w:val="000000"/>
                <w:sz w:val="20"/>
                <w:szCs w:val="20"/>
              </w:rPr>
              <w:t>Minimalny udział procentowy powierzchni biologicznie czynnej</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0AE4260D" w14:textId="16CA50D0" w:rsidR="00E4262B" w:rsidRPr="004D6D7A" w:rsidRDefault="00BD6526" w:rsidP="004E6657">
            <w:pPr>
              <w:pStyle w:val="Akapitzlist"/>
              <w:numPr>
                <w:ilvl w:val="0"/>
                <w:numId w:val="27"/>
              </w:numPr>
              <w:rPr>
                <w:sz w:val="20"/>
                <w:szCs w:val="20"/>
              </w:rPr>
            </w:pPr>
            <w:r w:rsidRPr="004D6D7A">
              <w:rPr>
                <w:sz w:val="20"/>
                <w:szCs w:val="20"/>
              </w:rPr>
              <w:t>40%</w:t>
            </w:r>
            <w:r w:rsidR="001C3CF8" w:rsidRPr="004D6D7A">
              <w:rPr>
                <w:sz w:val="20"/>
                <w:szCs w:val="20"/>
              </w:rPr>
              <w:t>;</w:t>
            </w:r>
          </w:p>
          <w:p w14:paraId="481CF172" w14:textId="6A8B0032" w:rsidR="005F0994" w:rsidRPr="004D6D7A" w:rsidRDefault="005F0994" w:rsidP="004E6657">
            <w:pPr>
              <w:pStyle w:val="Akapitzlist"/>
              <w:numPr>
                <w:ilvl w:val="0"/>
                <w:numId w:val="27"/>
              </w:numPr>
              <w:rPr>
                <w:sz w:val="20"/>
                <w:szCs w:val="20"/>
              </w:rPr>
            </w:pPr>
            <w:r w:rsidRPr="004D6D7A">
              <w:rPr>
                <w:sz w:val="20"/>
                <w:szCs w:val="20"/>
              </w:rPr>
              <w:t>20%</w:t>
            </w:r>
            <w:r w:rsidR="001C3CF8" w:rsidRPr="004D6D7A">
              <w:rPr>
                <w:sz w:val="20"/>
                <w:szCs w:val="20"/>
              </w:rPr>
              <w:t>;</w:t>
            </w:r>
          </w:p>
          <w:p w14:paraId="5761249A" w14:textId="719366B0" w:rsidR="001C3CF8" w:rsidRPr="004D6D7A" w:rsidRDefault="001C3CF8" w:rsidP="004E6657">
            <w:pPr>
              <w:pStyle w:val="Akapitzlist"/>
              <w:numPr>
                <w:ilvl w:val="0"/>
                <w:numId w:val="27"/>
              </w:numPr>
              <w:rPr>
                <w:sz w:val="20"/>
                <w:szCs w:val="20"/>
              </w:rPr>
            </w:pPr>
            <w:r w:rsidRPr="004D6D7A">
              <w:rPr>
                <w:sz w:val="20"/>
                <w:szCs w:val="20"/>
              </w:rPr>
              <w:t>nie określa się</w:t>
            </w:r>
          </w:p>
        </w:tc>
      </w:tr>
      <w:tr w:rsidR="003928F8" w:rsidRPr="00BE7793" w14:paraId="4B186347" w14:textId="77777777" w:rsidTr="00345502">
        <w:trPr>
          <w:trHeight w:val="45"/>
          <w:tblCellSpacing w:w="0" w:type="auto"/>
        </w:trPr>
        <w:tc>
          <w:tcPr>
            <w:tcW w:w="3119" w:type="dxa"/>
            <w:vMerge/>
            <w:tcBorders>
              <w:top w:val="nil"/>
              <w:bottom w:val="single" w:sz="8" w:space="0" w:color="000000"/>
              <w:right w:val="single" w:sz="8" w:space="0" w:color="000000"/>
            </w:tcBorders>
          </w:tcPr>
          <w:p w14:paraId="7D5E953F"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0908607" w14:textId="77777777" w:rsidR="00E4262B" w:rsidRPr="004D6D7A" w:rsidRDefault="00E4262B" w:rsidP="00E4262B">
            <w:pPr>
              <w:spacing w:after="0"/>
              <w:rPr>
                <w:sz w:val="20"/>
                <w:szCs w:val="20"/>
              </w:rPr>
            </w:pPr>
            <w:r w:rsidRPr="004D6D7A">
              <w:rPr>
                <w:color w:val="000000"/>
                <w:sz w:val="20"/>
                <w:szCs w:val="20"/>
              </w:rPr>
              <w:t>Minimalna liczba miejsc do parkowania</w:t>
            </w:r>
          </w:p>
        </w:tc>
        <w:tc>
          <w:tcPr>
            <w:tcW w:w="4293" w:type="dxa"/>
            <w:gridSpan w:val="2"/>
            <w:tcBorders>
              <w:bottom w:val="single" w:sz="8" w:space="0" w:color="000000"/>
              <w:right w:val="single" w:sz="8" w:space="0" w:color="000000"/>
            </w:tcBorders>
            <w:tcMar>
              <w:top w:w="15" w:type="dxa"/>
              <w:left w:w="15" w:type="dxa"/>
              <w:bottom w:w="15" w:type="dxa"/>
              <w:right w:w="15" w:type="dxa"/>
            </w:tcMar>
          </w:tcPr>
          <w:p w14:paraId="66257560" w14:textId="77777777" w:rsidR="00E4262B" w:rsidRPr="004D6D7A" w:rsidRDefault="00BD6526" w:rsidP="004E6657">
            <w:pPr>
              <w:pStyle w:val="Akapitzlist"/>
              <w:numPr>
                <w:ilvl w:val="0"/>
                <w:numId w:val="28"/>
              </w:numPr>
              <w:rPr>
                <w:sz w:val="20"/>
                <w:szCs w:val="20"/>
              </w:rPr>
            </w:pPr>
            <w:r w:rsidRPr="004D6D7A">
              <w:rPr>
                <w:sz w:val="20"/>
                <w:szCs w:val="20"/>
              </w:rPr>
              <w:t xml:space="preserve">nie mniej niż 1,5 </w:t>
            </w:r>
            <w:proofErr w:type="spellStart"/>
            <w:r w:rsidRPr="004D6D7A">
              <w:rPr>
                <w:sz w:val="20"/>
                <w:szCs w:val="20"/>
              </w:rPr>
              <w:t>mp</w:t>
            </w:r>
            <w:proofErr w:type="spellEnd"/>
            <w:r w:rsidRPr="004D6D7A">
              <w:rPr>
                <w:sz w:val="20"/>
                <w:szCs w:val="20"/>
              </w:rPr>
              <w:t>/mieszkanie;</w:t>
            </w:r>
          </w:p>
          <w:p w14:paraId="1A3D1858" w14:textId="67E73615" w:rsidR="001C3CF8" w:rsidRPr="004D6D7A" w:rsidRDefault="001C3CF8" w:rsidP="004E6657">
            <w:pPr>
              <w:pStyle w:val="Akapitzlist"/>
              <w:numPr>
                <w:ilvl w:val="0"/>
                <w:numId w:val="28"/>
              </w:numPr>
              <w:rPr>
                <w:sz w:val="20"/>
                <w:szCs w:val="20"/>
              </w:rPr>
            </w:pPr>
            <w:r w:rsidRPr="004D6D7A">
              <w:rPr>
                <w:sz w:val="20"/>
                <w:szCs w:val="20"/>
              </w:rPr>
              <w:t xml:space="preserve">nie mniej niż 1,5 </w:t>
            </w:r>
            <w:proofErr w:type="spellStart"/>
            <w:r w:rsidRPr="004D6D7A">
              <w:rPr>
                <w:sz w:val="20"/>
                <w:szCs w:val="20"/>
              </w:rPr>
              <w:t>mp</w:t>
            </w:r>
            <w:proofErr w:type="spellEnd"/>
            <w:r w:rsidRPr="004D6D7A">
              <w:rPr>
                <w:sz w:val="20"/>
                <w:szCs w:val="20"/>
              </w:rPr>
              <w:t>/mieszkanie;</w:t>
            </w:r>
          </w:p>
          <w:p w14:paraId="33728300" w14:textId="2B83CC31" w:rsidR="001C3CF8" w:rsidRPr="004D6D7A" w:rsidRDefault="001C3CF8" w:rsidP="004E6657">
            <w:pPr>
              <w:pStyle w:val="Akapitzlist"/>
              <w:numPr>
                <w:ilvl w:val="0"/>
                <w:numId w:val="28"/>
              </w:numPr>
              <w:rPr>
                <w:sz w:val="20"/>
                <w:szCs w:val="20"/>
              </w:rPr>
            </w:pPr>
            <w:r w:rsidRPr="004D6D7A">
              <w:rPr>
                <w:sz w:val="20"/>
                <w:szCs w:val="20"/>
              </w:rPr>
              <w:t>nie dotyczy</w:t>
            </w:r>
          </w:p>
        </w:tc>
      </w:tr>
      <w:tr w:rsidR="003928F8" w:rsidRPr="00BE7793" w14:paraId="4356B4E7"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01A57130" w14:textId="77777777" w:rsidR="00E4262B" w:rsidRPr="004D6D7A" w:rsidRDefault="00E4262B" w:rsidP="00E4262B">
            <w:pPr>
              <w:spacing w:after="0"/>
              <w:rPr>
                <w:sz w:val="20"/>
                <w:szCs w:val="20"/>
              </w:rPr>
            </w:pPr>
            <w:r w:rsidRPr="004D6D7A">
              <w:rPr>
                <w:color w:val="000000"/>
                <w:sz w:val="20"/>
                <w:szCs w:val="20"/>
              </w:rPr>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2F40279" w14:textId="77777777" w:rsidR="00E4262B" w:rsidRPr="004D6D7A" w:rsidRDefault="00E4262B" w:rsidP="00E4262B">
            <w:pPr>
              <w:spacing w:after="0"/>
              <w:rPr>
                <w:sz w:val="20"/>
                <w:szCs w:val="20"/>
              </w:rPr>
            </w:pPr>
            <w:r w:rsidRPr="004D6D7A">
              <w:rPr>
                <w:color w:val="000000"/>
                <w:sz w:val="20"/>
                <w:szCs w:val="20"/>
              </w:rPr>
              <w:t>Funkcja zabudowy i zagospodarowania terenu</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260FB31A" w14:textId="5222E3EA" w:rsidR="00E4262B" w:rsidRPr="004D6D7A" w:rsidRDefault="00AB033C" w:rsidP="004B767D">
            <w:pPr>
              <w:spacing w:after="0"/>
              <w:jc w:val="center"/>
              <w:rPr>
                <w:sz w:val="20"/>
                <w:szCs w:val="20"/>
              </w:rPr>
            </w:pPr>
            <w:r w:rsidRPr="004D6D7A">
              <w:rPr>
                <w:color w:val="000000"/>
                <w:sz w:val="20"/>
                <w:szCs w:val="20"/>
              </w:rPr>
              <w:t>Zabudowa mieszkaniowa wielorodzinna</w:t>
            </w:r>
          </w:p>
        </w:tc>
      </w:tr>
      <w:tr w:rsidR="003928F8" w:rsidRPr="00BE7793" w14:paraId="4ECA740F" w14:textId="77777777" w:rsidTr="00345502">
        <w:trPr>
          <w:trHeight w:val="45"/>
          <w:tblCellSpacing w:w="0" w:type="auto"/>
        </w:trPr>
        <w:tc>
          <w:tcPr>
            <w:tcW w:w="3119" w:type="dxa"/>
            <w:vMerge/>
            <w:tcBorders>
              <w:top w:val="nil"/>
              <w:bottom w:val="single" w:sz="8" w:space="0" w:color="000000"/>
              <w:right w:val="single" w:sz="8" w:space="0" w:color="000000"/>
            </w:tcBorders>
          </w:tcPr>
          <w:p w14:paraId="7066CE31" w14:textId="77777777" w:rsidR="00E4262B" w:rsidRPr="004D6D7A" w:rsidRDefault="00E4262B" w:rsidP="00E4262B">
            <w:pPr>
              <w:rPr>
                <w:sz w:val="20"/>
                <w:szCs w:val="20"/>
              </w:rPr>
            </w:pP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33012A8F" w14:textId="77777777" w:rsidR="00E4262B" w:rsidRPr="004D6D7A" w:rsidRDefault="00E4262B" w:rsidP="00E4262B">
            <w:pPr>
              <w:spacing w:after="0"/>
              <w:rPr>
                <w:sz w:val="20"/>
                <w:szCs w:val="20"/>
              </w:rPr>
            </w:pPr>
            <w:r w:rsidRPr="004D6D7A">
              <w:rPr>
                <w:color w:val="000000"/>
                <w:sz w:val="20"/>
                <w:szCs w:val="20"/>
              </w:rPr>
              <w:t>Cechy zabudowy i zagospodarowania terenu:</w:t>
            </w:r>
          </w:p>
        </w:tc>
      </w:tr>
      <w:tr w:rsidR="003928F8" w:rsidRPr="00BE7793" w14:paraId="7D2B199A" w14:textId="77777777" w:rsidTr="00345502">
        <w:trPr>
          <w:trHeight w:val="45"/>
          <w:tblCellSpacing w:w="0" w:type="auto"/>
        </w:trPr>
        <w:tc>
          <w:tcPr>
            <w:tcW w:w="3119" w:type="dxa"/>
            <w:vMerge/>
            <w:tcBorders>
              <w:top w:val="nil"/>
              <w:bottom w:val="single" w:sz="8" w:space="0" w:color="000000"/>
              <w:right w:val="single" w:sz="8" w:space="0" w:color="000000"/>
            </w:tcBorders>
          </w:tcPr>
          <w:p w14:paraId="47D3418F"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E86EA30" w14:textId="77777777" w:rsidR="00E4262B" w:rsidRPr="004D6D7A" w:rsidRDefault="00E4262B" w:rsidP="00E4262B">
            <w:pPr>
              <w:spacing w:after="0"/>
              <w:rPr>
                <w:sz w:val="20"/>
                <w:szCs w:val="20"/>
              </w:rPr>
            </w:pPr>
            <w:r w:rsidRPr="004D6D7A">
              <w:rPr>
                <w:color w:val="000000"/>
                <w:sz w:val="20"/>
                <w:szCs w:val="20"/>
              </w:rPr>
              <w:t>gabaryty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68D2E1BE" w14:textId="6A49A150" w:rsidR="00E4262B" w:rsidRPr="004D6D7A" w:rsidRDefault="002F262B" w:rsidP="00E4262B">
            <w:pPr>
              <w:rPr>
                <w:sz w:val="20"/>
                <w:szCs w:val="20"/>
              </w:rPr>
            </w:pPr>
            <w:r w:rsidRPr="004D6D7A">
              <w:rPr>
                <w:sz w:val="20"/>
                <w:szCs w:val="20"/>
              </w:rPr>
              <w:t>Szerokość elewacji frontowej zabudowy określona względem linii A-B: nie mniej niż 20 m i nie więcej niż 61 m</w:t>
            </w:r>
          </w:p>
        </w:tc>
      </w:tr>
      <w:tr w:rsidR="003928F8" w:rsidRPr="00BE7793" w14:paraId="23AE6AF7" w14:textId="77777777" w:rsidTr="00345502">
        <w:trPr>
          <w:trHeight w:val="45"/>
          <w:tblCellSpacing w:w="0" w:type="auto"/>
        </w:trPr>
        <w:tc>
          <w:tcPr>
            <w:tcW w:w="3119" w:type="dxa"/>
            <w:vMerge/>
            <w:tcBorders>
              <w:top w:val="nil"/>
              <w:bottom w:val="single" w:sz="8" w:space="0" w:color="000000"/>
              <w:right w:val="single" w:sz="8" w:space="0" w:color="000000"/>
            </w:tcBorders>
          </w:tcPr>
          <w:p w14:paraId="79821224"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DFEF02F" w14:textId="77777777" w:rsidR="00E4262B" w:rsidRPr="004D6D7A" w:rsidRDefault="00E4262B" w:rsidP="00E4262B">
            <w:pPr>
              <w:spacing w:after="0"/>
              <w:rPr>
                <w:sz w:val="20"/>
                <w:szCs w:val="20"/>
              </w:rPr>
            </w:pPr>
            <w:r w:rsidRPr="004D6D7A">
              <w:rPr>
                <w:color w:val="000000"/>
                <w:sz w:val="20"/>
                <w:szCs w:val="20"/>
              </w:rPr>
              <w:t>forma architektoniczna</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850ED5B" w14:textId="3A530347" w:rsidR="00E4262B" w:rsidRPr="004D6D7A" w:rsidRDefault="004C1EE0" w:rsidP="00E4262B">
            <w:pPr>
              <w:rPr>
                <w:sz w:val="20"/>
                <w:szCs w:val="20"/>
                <w:highlight w:val="yellow"/>
              </w:rPr>
            </w:pPr>
            <w:r w:rsidRPr="004D6D7A">
              <w:rPr>
                <w:sz w:val="20"/>
                <w:szCs w:val="20"/>
              </w:rPr>
              <w:t>Dach płaski</w:t>
            </w:r>
          </w:p>
        </w:tc>
      </w:tr>
      <w:tr w:rsidR="003928F8" w:rsidRPr="00BE7793" w14:paraId="69EA2B09" w14:textId="77777777" w:rsidTr="00345502">
        <w:trPr>
          <w:trHeight w:val="45"/>
          <w:tblCellSpacing w:w="0" w:type="auto"/>
        </w:trPr>
        <w:tc>
          <w:tcPr>
            <w:tcW w:w="3119" w:type="dxa"/>
            <w:vMerge/>
            <w:tcBorders>
              <w:top w:val="nil"/>
              <w:bottom w:val="single" w:sz="8" w:space="0" w:color="000000"/>
              <w:right w:val="single" w:sz="8" w:space="0" w:color="000000"/>
            </w:tcBorders>
          </w:tcPr>
          <w:p w14:paraId="754A5454"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F92091C" w14:textId="77777777" w:rsidR="00E4262B" w:rsidRPr="004D6D7A" w:rsidRDefault="00E4262B" w:rsidP="00E4262B">
            <w:pPr>
              <w:spacing w:after="0"/>
              <w:rPr>
                <w:sz w:val="20"/>
                <w:szCs w:val="20"/>
              </w:rPr>
            </w:pPr>
            <w:r w:rsidRPr="004D6D7A">
              <w:rPr>
                <w:color w:val="000000"/>
                <w:sz w:val="20"/>
                <w:szCs w:val="20"/>
              </w:rPr>
              <w:t>usytuowanie linii zabudowy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3BC4C64" w14:textId="77777777" w:rsidR="00E4262B" w:rsidRPr="004D6D7A" w:rsidRDefault="00A10869" w:rsidP="00E4262B">
            <w:pPr>
              <w:rPr>
                <w:sz w:val="20"/>
                <w:szCs w:val="20"/>
              </w:rPr>
            </w:pPr>
            <w:r w:rsidRPr="004D6D7A">
              <w:rPr>
                <w:sz w:val="20"/>
                <w:szCs w:val="20"/>
              </w:rPr>
              <w:t>nieprzekraczalna linia zabudowy w odległości 6 m od linii rozgraniczającej drogi publicznej gminnej (dz. nr 1/17) – ul. Dywizjonu 303.</w:t>
            </w:r>
          </w:p>
          <w:p w14:paraId="607454E8" w14:textId="6D0B0ECC" w:rsidR="00A10869" w:rsidRPr="004D6D7A" w:rsidRDefault="00A10869" w:rsidP="00E4262B">
            <w:pPr>
              <w:rPr>
                <w:sz w:val="20"/>
                <w:szCs w:val="20"/>
              </w:rPr>
            </w:pPr>
            <w:r w:rsidRPr="004D6D7A">
              <w:rPr>
                <w:sz w:val="20"/>
                <w:szCs w:val="20"/>
              </w:rPr>
              <w:t>Linie zabudowy nie dotyczą: części podziemnych obiektów budowlanych (przy całkowitym zagłębieniu w gruncie), balkonów, werand, wykuszy, gzymsów, okapów, zadaszeń nad wejściami, niezabudowanych schodów, sieci infrastruktury technicznej.</w:t>
            </w:r>
          </w:p>
        </w:tc>
      </w:tr>
      <w:tr w:rsidR="003928F8" w:rsidRPr="00BE7793" w14:paraId="1C58BFEB" w14:textId="77777777" w:rsidTr="00345502">
        <w:trPr>
          <w:trHeight w:val="45"/>
          <w:tblCellSpacing w:w="0" w:type="auto"/>
        </w:trPr>
        <w:tc>
          <w:tcPr>
            <w:tcW w:w="3119" w:type="dxa"/>
            <w:vMerge/>
            <w:tcBorders>
              <w:top w:val="nil"/>
              <w:bottom w:val="single" w:sz="8" w:space="0" w:color="000000"/>
              <w:right w:val="single" w:sz="8" w:space="0" w:color="000000"/>
            </w:tcBorders>
          </w:tcPr>
          <w:p w14:paraId="5781E18B"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CB67334" w14:textId="77777777" w:rsidR="00E4262B" w:rsidRPr="004D6D7A" w:rsidRDefault="00E4262B" w:rsidP="00E4262B">
            <w:pPr>
              <w:spacing w:after="0"/>
              <w:rPr>
                <w:sz w:val="20"/>
                <w:szCs w:val="20"/>
              </w:rPr>
            </w:pPr>
            <w:r w:rsidRPr="004D6D7A">
              <w:rPr>
                <w:color w:val="000000"/>
                <w:sz w:val="20"/>
                <w:szCs w:val="20"/>
              </w:rPr>
              <w:t>intensywność wykorzystania terenu</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6E6E6655" w14:textId="14D2DD31" w:rsidR="00E4262B" w:rsidRPr="004D6D7A" w:rsidRDefault="00A10869" w:rsidP="00E4262B">
            <w:pPr>
              <w:rPr>
                <w:sz w:val="20"/>
                <w:szCs w:val="20"/>
              </w:rPr>
            </w:pPr>
            <w:r w:rsidRPr="004D6D7A">
              <w:rPr>
                <w:sz w:val="20"/>
                <w:szCs w:val="20"/>
              </w:rPr>
              <w:t>0,34</w:t>
            </w:r>
          </w:p>
        </w:tc>
      </w:tr>
      <w:tr w:rsidR="003928F8" w:rsidRPr="00BE7793" w14:paraId="0EA2D445" w14:textId="77777777" w:rsidTr="00345502">
        <w:trPr>
          <w:trHeight w:val="45"/>
          <w:tblCellSpacing w:w="0" w:type="auto"/>
        </w:trPr>
        <w:tc>
          <w:tcPr>
            <w:tcW w:w="3119" w:type="dxa"/>
            <w:vMerge/>
            <w:tcBorders>
              <w:top w:val="nil"/>
              <w:bottom w:val="single" w:sz="8" w:space="0" w:color="000000"/>
              <w:right w:val="single" w:sz="8" w:space="0" w:color="000000"/>
            </w:tcBorders>
          </w:tcPr>
          <w:p w14:paraId="13C769B9"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42F9F65" w14:textId="77777777" w:rsidR="00E4262B" w:rsidRPr="004D6D7A" w:rsidRDefault="00E4262B" w:rsidP="00E4262B">
            <w:pPr>
              <w:spacing w:after="0"/>
              <w:rPr>
                <w:sz w:val="20"/>
                <w:szCs w:val="20"/>
              </w:rPr>
            </w:pPr>
            <w:r w:rsidRPr="004D6D7A">
              <w:rPr>
                <w:color w:val="000000"/>
                <w:sz w:val="20"/>
                <w:szCs w:val="20"/>
              </w:rPr>
              <w:t>warunki ochrony środowiska i zdrowia ludzi, przyrody i krajobrazu</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23E7992" w14:textId="77777777" w:rsidR="00E4262B" w:rsidRPr="004D6D7A" w:rsidRDefault="004B767D" w:rsidP="00E4262B">
            <w:pPr>
              <w:rPr>
                <w:sz w:val="20"/>
                <w:szCs w:val="20"/>
              </w:rPr>
            </w:pPr>
            <w:r w:rsidRPr="004D6D7A">
              <w:rPr>
                <w:sz w:val="20"/>
                <w:szCs w:val="20"/>
              </w:rPr>
              <w:t>Ustalenia dotyczące ochrony środowiska, przyrody i krajobrazu: nie ustala się, gdyż nie występują obiektowe i obszarowe formy ochrony przyrody na podstawie ustawy z dnia 16.04.2004r. o ochronie przyrody (tj. Dz. U. z 2022r. poz. 916)</w:t>
            </w:r>
          </w:p>
          <w:p w14:paraId="413B67F0" w14:textId="6474E34F" w:rsidR="004B767D" w:rsidRPr="004D6D7A" w:rsidRDefault="004B767D" w:rsidP="00E4262B">
            <w:pPr>
              <w:rPr>
                <w:sz w:val="20"/>
                <w:szCs w:val="20"/>
              </w:rPr>
            </w:pPr>
            <w:r w:rsidRPr="004D6D7A">
              <w:rPr>
                <w:sz w:val="20"/>
                <w:szCs w:val="20"/>
              </w:rPr>
              <w:t>Ustalenia wymagań dotyczących ochrony interesów osób trzecich: realizacja inwestycji nie może naruszać interesów osób trzecich w szczególności winna uwzględniać art. 5 ustawy z dnia 07.07.1994r. Prawo budowlane (tj. Dz.U, z 2021r. poz. 2351 z późn.zm.).</w:t>
            </w:r>
          </w:p>
          <w:p w14:paraId="281A8DD6" w14:textId="57C4240E" w:rsidR="004B767D" w:rsidRPr="004D6D7A" w:rsidRDefault="004B767D" w:rsidP="00E4262B">
            <w:pPr>
              <w:rPr>
                <w:sz w:val="20"/>
                <w:szCs w:val="20"/>
              </w:rPr>
            </w:pPr>
            <w:r w:rsidRPr="004D6D7A">
              <w:rPr>
                <w:sz w:val="20"/>
                <w:szCs w:val="20"/>
              </w:rPr>
              <w:lastRenderedPageBreak/>
              <w:t>Ochrona uzasadnionych interesów osób trzecich, obejmuje w szczególności:</w:t>
            </w:r>
          </w:p>
          <w:p w14:paraId="3DF0034F" w14:textId="66D36F62" w:rsidR="004B767D" w:rsidRPr="004D6D7A" w:rsidRDefault="004B767D" w:rsidP="00917026">
            <w:pPr>
              <w:pStyle w:val="Akapitzlist"/>
              <w:numPr>
                <w:ilvl w:val="0"/>
                <w:numId w:val="3"/>
              </w:numPr>
              <w:ind w:left="446"/>
              <w:rPr>
                <w:sz w:val="20"/>
                <w:szCs w:val="20"/>
              </w:rPr>
            </w:pPr>
            <w:r w:rsidRPr="004D6D7A">
              <w:rPr>
                <w:sz w:val="20"/>
                <w:szCs w:val="20"/>
              </w:rPr>
              <w:t>Zapewnienie dostępu do drogi publicznej.</w:t>
            </w:r>
          </w:p>
          <w:p w14:paraId="330A4E76" w14:textId="27660915" w:rsidR="004B767D" w:rsidRPr="004D6D7A" w:rsidRDefault="004B767D" w:rsidP="00917026">
            <w:pPr>
              <w:pStyle w:val="Akapitzlist"/>
              <w:numPr>
                <w:ilvl w:val="0"/>
                <w:numId w:val="3"/>
              </w:numPr>
              <w:ind w:left="446"/>
              <w:rPr>
                <w:sz w:val="20"/>
                <w:szCs w:val="20"/>
              </w:rPr>
            </w:pPr>
            <w:r w:rsidRPr="004D6D7A">
              <w:rPr>
                <w:sz w:val="20"/>
                <w:szCs w:val="20"/>
              </w:rPr>
              <w:t>Ochronę przed pozbawieniem:</w:t>
            </w:r>
          </w:p>
          <w:p w14:paraId="49A1ABBE" w14:textId="7DE77363" w:rsidR="004B767D" w:rsidRPr="004D6D7A" w:rsidRDefault="004B767D" w:rsidP="00917026">
            <w:pPr>
              <w:pStyle w:val="Akapitzlist"/>
              <w:numPr>
                <w:ilvl w:val="0"/>
                <w:numId w:val="4"/>
              </w:numPr>
              <w:ind w:left="588"/>
              <w:rPr>
                <w:sz w:val="20"/>
                <w:szCs w:val="20"/>
              </w:rPr>
            </w:pPr>
            <w:r w:rsidRPr="004D6D7A">
              <w:rPr>
                <w:sz w:val="20"/>
                <w:szCs w:val="20"/>
              </w:rPr>
              <w:t>możliwości korzystania z wody, kanalizacji, energii elektrycznej i cieplnej oraz środków łączności,</w:t>
            </w:r>
          </w:p>
          <w:p w14:paraId="1CEAB3ED" w14:textId="387F6BCB" w:rsidR="004B767D" w:rsidRPr="004D6D7A" w:rsidRDefault="004B767D" w:rsidP="00917026">
            <w:pPr>
              <w:pStyle w:val="Akapitzlist"/>
              <w:numPr>
                <w:ilvl w:val="0"/>
                <w:numId w:val="4"/>
              </w:numPr>
              <w:ind w:left="588"/>
              <w:rPr>
                <w:sz w:val="20"/>
                <w:szCs w:val="20"/>
              </w:rPr>
            </w:pPr>
            <w:r w:rsidRPr="004D6D7A">
              <w:rPr>
                <w:sz w:val="20"/>
                <w:szCs w:val="20"/>
              </w:rPr>
              <w:t>dopływu światła dziennego do pomieszczeń przeznaczonych na pobyt ludzi.</w:t>
            </w:r>
          </w:p>
          <w:p w14:paraId="262102D3" w14:textId="37E457FD" w:rsidR="004B767D" w:rsidRPr="004D6D7A" w:rsidRDefault="004B767D" w:rsidP="00917026">
            <w:pPr>
              <w:pStyle w:val="Akapitzlist"/>
              <w:numPr>
                <w:ilvl w:val="0"/>
                <w:numId w:val="3"/>
              </w:numPr>
              <w:ind w:left="446"/>
              <w:rPr>
                <w:sz w:val="20"/>
                <w:szCs w:val="20"/>
              </w:rPr>
            </w:pPr>
            <w:r w:rsidRPr="004D6D7A">
              <w:rPr>
                <w:sz w:val="20"/>
                <w:szCs w:val="20"/>
              </w:rPr>
              <w:t>Ochronę przed uciążliwościami powodowanymi przez hałas, wibracje, zakłócenia elektrycznej, promieniowanie.</w:t>
            </w:r>
          </w:p>
          <w:p w14:paraId="6457DCB3" w14:textId="4D10E10A" w:rsidR="004B767D" w:rsidRPr="004D6D7A" w:rsidRDefault="004B767D" w:rsidP="00917026">
            <w:pPr>
              <w:pStyle w:val="Akapitzlist"/>
              <w:numPr>
                <w:ilvl w:val="0"/>
                <w:numId w:val="3"/>
              </w:numPr>
              <w:ind w:left="446"/>
              <w:rPr>
                <w:sz w:val="20"/>
                <w:szCs w:val="20"/>
              </w:rPr>
            </w:pPr>
            <w:r w:rsidRPr="004D6D7A">
              <w:rPr>
                <w:sz w:val="20"/>
                <w:szCs w:val="20"/>
              </w:rPr>
              <w:t>Ochronę przed zanieczyszczeniem powietrza, wody lub gleb.</w:t>
            </w:r>
          </w:p>
          <w:p w14:paraId="68112FD1" w14:textId="268923AA" w:rsidR="004B767D" w:rsidRPr="004D6D7A" w:rsidRDefault="004B767D" w:rsidP="00917026">
            <w:pPr>
              <w:pStyle w:val="Akapitzlist"/>
              <w:numPr>
                <w:ilvl w:val="0"/>
                <w:numId w:val="3"/>
              </w:numPr>
              <w:ind w:left="446"/>
              <w:rPr>
                <w:sz w:val="20"/>
                <w:szCs w:val="20"/>
              </w:rPr>
            </w:pPr>
            <w:r w:rsidRPr="004D6D7A">
              <w:rPr>
                <w:sz w:val="20"/>
                <w:szCs w:val="20"/>
              </w:rPr>
              <w:t>Przy realizacji inwestycji należy uwzględnić:</w:t>
            </w:r>
          </w:p>
          <w:p w14:paraId="42CEE4D2" w14:textId="3CAE0FD5" w:rsidR="004B767D" w:rsidRPr="004D6D7A" w:rsidRDefault="004B767D" w:rsidP="00917026">
            <w:pPr>
              <w:pStyle w:val="Akapitzlist"/>
              <w:numPr>
                <w:ilvl w:val="0"/>
                <w:numId w:val="5"/>
              </w:numPr>
              <w:ind w:left="588"/>
              <w:rPr>
                <w:sz w:val="20"/>
                <w:szCs w:val="20"/>
              </w:rPr>
            </w:pPr>
            <w:r w:rsidRPr="004D6D7A">
              <w:rPr>
                <w:sz w:val="20"/>
                <w:szCs w:val="20"/>
              </w:rPr>
              <w:t>dla planowanych przebiegów przyłączy instalacyjnych należy uzyskać zgodę właścicieli nieruchomości, przez teren, których będą one prowadzone. Przejścia w drogach gminnych uzgodnić z zarządcą drogi;</w:t>
            </w:r>
          </w:p>
          <w:p w14:paraId="78619659" w14:textId="71125366" w:rsidR="004B767D" w:rsidRPr="004D6D7A" w:rsidRDefault="004B767D" w:rsidP="00917026">
            <w:pPr>
              <w:pStyle w:val="Akapitzlist"/>
              <w:numPr>
                <w:ilvl w:val="0"/>
                <w:numId w:val="5"/>
              </w:numPr>
              <w:ind w:left="588"/>
              <w:rPr>
                <w:sz w:val="20"/>
                <w:szCs w:val="20"/>
              </w:rPr>
            </w:pPr>
            <w:r w:rsidRPr="004D6D7A">
              <w:rPr>
                <w:sz w:val="20"/>
                <w:szCs w:val="20"/>
              </w:rPr>
              <w:t>wnioskowana inwestycja nie może powodować utrudniania w dojściach i dojazdach do sąsiednich nieruchomości, jak również nie może pogorszyć stanu technicznego tych nieruchomości;</w:t>
            </w:r>
          </w:p>
          <w:p w14:paraId="1202C095" w14:textId="3A6D72B3" w:rsidR="004B767D" w:rsidRPr="004D6D7A" w:rsidRDefault="004B767D" w:rsidP="00917026">
            <w:pPr>
              <w:pStyle w:val="Akapitzlist"/>
              <w:numPr>
                <w:ilvl w:val="0"/>
                <w:numId w:val="5"/>
              </w:numPr>
              <w:ind w:left="588"/>
              <w:rPr>
                <w:sz w:val="20"/>
                <w:szCs w:val="20"/>
              </w:rPr>
            </w:pPr>
            <w:r w:rsidRPr="004D6D7A">
              <w:rPr>
                <w:sz w:val="20"/>
                <w:szCs w:val="20"/>
              </w:rPr>
              <w:t>należy uzgodnić warunki ewentualnego zajęcia terenu na czas trwania prac z właścicielami i zarządcami terenu.</w:t>
            </w:r>
          </w:p>
        </w:tc>
      </w:tr>
      <w:tr w:rsidR="003928F8" w:rsidRPr="00BE7793" w14:paraId="3A96CE9A" w14:textId="77777777" w:rsidTr="00345502">
        <w:trPr>
          <w:trHeight w:val="45"/>
          <w:tblCellSpacing w:w="0" w:type="auto"/>
        </w:trPr>
        <w:tc>
          <w:tcPr>
            <w:tcW w:w="3119" w:type="dxa"/>
            <w:vMerge/>
            <w:tcBorders>
              <w:top w:val="nil"/>
              <w:bottom w:val="single" w:sz="8" w:space="0" w:color="000000"/>
              <w:right w:val="single" w:sz="8" w:space="0" w:color="000000"/>
            </w:tcBorders>
          </w:tcPr>
          <w:p w14:paraId="17B62121"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1219C18" w14:textId="77777777" w:rsidR="00E4262B" w:rsidRPr="004D6D7A" w:rsidRDefault="00E4262B" w:rsidP="00E4262B">
            <w:pPr>
              <w:spacing w:after="0"/>
              <w:rPr>
                <w:sz w:val="20"/>
                <w:szCs w:val="20"/>
              </w:rPr>
            </w:pPr>
            <w:r w:rsidRPr="004D6D7A">
              <w:rPr>
                <w:color w:val="000000"/>
                <w:sz w:val="20"/>
                <w:szCs w:val="20"/>
              </w:rPr>
              <w:t>wymagania dotyczące zabudowy i zagospodarowania terenu położonego na obszarach szczególnego zagrożenia powodzią</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416E2BE5" w14:textId="2C7609A9" w:rsidR="00E4262B" w:rsidRPr="004D6D7A" w:rsidRDefault="00A10869" w:rsidP="00E4262B">
            <w:pPr>
              <w:rPr>
                <w:sz w:val="20"/>
                <w:szCs w:val="20"/>
              </w:rPr>
            </w:pPr>
            <w:r w:rsidRPr="004D6D7A">
              <w:rPr>
                <w:sz w:val="20"/>
                <w:szCs w:val="20"/>
              </w:rPr>
              <w:t>Nie dotyczy</w:t>
            </w:r>
          </w:p>
        </w:tc>
      </w:tr>
      <w:tr w:rsidR="003928F8" w:rsidRPr="00BE7793" w14:paraId="3A0BC8BD" w14:textId="77777777" w:rsidTr="00345502">
        <w:trPr>
          <w:trHeight w:val="45"/>
          <w:tblCellSpacing w:w="0" w:type="auto"/>
        </w:trPr>
        <w:tc>
          <w:tcPr>
            <w:tcW w:w="3119" w:type="dxa"/>
            <w:vMerge/>
            <w:tcBorders>
              <w:top w:val="nil"/>
              <w:bottom w:val="single" w:sz="8" w:space="0" w:color="000000"/>
              <w:right w:val="single" w:sz="8" w:space="0" w:color="000000"/>
            </w:tcBorders>
          </w:tcPr>
          <w:p w14:paraId="4680BEB0"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420507C" w14:textId="77777777" w:rsidR="00E4262B" w:rsidRPr="004D6D7A" w:rsidRDefault="00E4262B" w:rsidP="00E4262B">
            <w:pPr>
              <w:spacing w:after="0"/>
              <w:rPr>
                <w:sz w:val="20"/>
                <w:szCs w:val="20"/>
              </w:rPr>
            </w:pPr>
            <w:r w:rsidRPr="004D6D7A">
              <w:rPr>
                <w:color w:val="000000"/>
                <w:sz w:val="20"/>
                <w:szCs w:val="20"/>
              </w:rPr>
              <w:t>warunki ochrony dziedzictwa kulturowego i zabytków oraz dóbr kultury współczesnej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76BC8A1F" w14:textId="007D3599" w:rsidR="00E4262B" w:rsidRPr="004D6D7A" w:rsidRDefault="004E0CA5" w:rsidP="00E4262B">
            <w:pPr>
              <w:rPr>
                <w:sz w:val="20"/>
                <w:szCs w:val="20"/>
              </w:rPr>
            </w:pPr>
            <w:r w:rsidRPr="004D6D7A">
              <w:rPr>
                <w:sz w:val="20"/>
                <w:szCs w:val="20"/>
              </w:rPr>
              <w:t>Nie ustala się, gdyż nie występują żadne obiekty i obszary objęte ochroną na podstawie ustawy z dnia 23.07.2003r. o ochronie zabytków i opiece nad zabytkami (tj. Dz. U. z 2022r. poz. 840).</w:t>
            </w:r>
          </w:p>
        </w:tc>
      </w:tr>
      <w:tr w:rsidR="003928F8" w:rsidRPr="00BE7793" w14:paraId="044714DE" w14:textId="77777777" w:rsidTr="00345502">
        <w:trPr>
          <w:trHeight w:val="45"/>
          <w:tblCellSpacing w:w="0" w:type="auto"/>
        </w:trPr>
        <w:tc>
          <w:tcPr>
            <w:tcW w:w="3119" w:type="dxa"/>
            <w:vMerge/>
            <w:tcBorders>
              <w:top w:val="nil"/>
              <w:bottom w:val="single" w:sz="8" w:space="0" w:color="000000"/>
              <w:right w:val="single" w:sz="8" w:space="0" w:color="000000"/>
            </w:tcBorders>
          </w:tcPr>
          <w:p w14:paraId="7120CFB3"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2CD0C74" w14:textId="77777777" w:rsidR="00E4262B" w:rsidRPr="004D6D7A" w:rsidRDefault="00E4262B" w:rsidP="00E4262B">
            <w:pPr>
              <w:spacing w:after="0"/>
              <w:rPr>
                <w:sz w:val="20"/>
                <w:szCs w:val="20"/>
              </w:rPr>
            </w:pPr>
            <w:r w:rsidRPr="004D6D7A">
              <w:rPr>
                <w:color w:val="000000"/>
                <w:sz w:val="20"/>
                <w:szCs w:val="20"/>
              </w:rPr>
              <w:t>wymagania dotyczące ochrony innych terenów lub obiektów podlegających ochronie na podstawie przepisów odrębnych</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3F28A32D" w14:textId="77777777" w:rsidR="00E4262B" w:rsidRPr="004D6D7A" w:rsidRDefault="004E0CA5" w:rsidP="00917026">
            <w:pPr>
              <w:pStyle w:val="Akapitzlist"/>
              <w:numPr>
                <w:ilvl w:val="0"/>
                <w:numId w:val="6"/>
              </w:numPr>
              <w:ind w:left="304" w:hanging="283"/>
              <w:rPr>
                <w:sz w:val="20"/>
                <w:szCs w:val="20"/>
              </w:rPr>
            </w:pPr>
            <w:r w:rsidRPr="004D6D7A">
              <w:rPr>
                <w:sz w:val="20"/>
                <w:szCs w:val="20"/>
              </w:rPr>
              <w:t>Teren objęty decyzją zlokalizowany jest w granicach Głównego Zbiornika Wód Podziemnych nr 112 Żuławy Wiślane. Obowiązują przepisy odrębne;</w:t>
            </w:r>
          </w:p>
          <w:p w14:paraId="5F636C85" w14:textId="5247F122" w:rsidR="004E0CA5" w:rsidRPr="004D6D7A" w:rsidRDefault="004E0CA5" w:rsidP="00917026">
            <w:pPr>
              <w:pStyle w:val="Akapitzlist"/>
              <w:numPr>
                <w:ilvl w:val="0"/>
                <w:numId w:val="6"/>
              </w:numPr>
              <w:ind w:left="304"/>
              <w:rPr>
                <w:sz w:val="20"/>
                <w:szCs w:val="20"/>
              </w:rPr>
            </w:pPr>
            <w:r w:rsidRPr="004D6D7A">
              <w:rPr>
                <w:sz w:val="20"/>
                <w:szCs w:val="20"/>
              </w:rPr>
              <w:t xml:space="preserve">Teren położony jest w zasięgu powierzchni ograniczających lotniska wojskowego Pruszcz Gdański. Obowiązujące ograniczenie wysokości zabudowy od ok 22,5m n.p.m. do ok. 28 m n.p.m., zgodnie z postanowieniem Centralnego Wojskowego Centrum Rekrutacji – Ośrodek Zamiejscowy w Gdańsku nr 199/2022 z dnia </w:t>
            </w:r>
            <w:r w:rsidRPr="004D6D7A">
              <w:rPr>
                <w:sz w:val="20"/>
                <w:szCs w:val="20"/>
              </w:rPr>
              <w:lastRenderedPageBreak/>
              <w:t xml:space="preserve">06.07.2022r., pismo znak: CWCR GD-WO.0732.88.2022 z dnia 06.07.2022r. </w:t>
            </w:r>
          </w:p>
        </w:tc>
      </w:tr>
      <w:tr w:rsidR="003928F8" w:rsidRPr="00BE7793" w14:paraId="501666A4" w14:textId="77777777" w:rsidTr="00345502">
        <w:trPr>
          <w:trHeight w:val="45"/>
          <w:tblCellSpacing w:w="0" w:type="auto"/>
        </w:trPr>
        <w:tc>
          <w:tcPr>
            <w:tcW w:w="3119" w:type="dxa"/>
            <w:vMerge/>
            <w:tcBorders>
              <w:top w:val="nil"/>
              <w:bottom w:val="single" w:sz="8" w:space="0" w:color="000000"/>
              <w:right w:val="single" w:sz="8" w:space="0" w:color="000000"/>
            </w:tcBorders>
          </w:tcPr>
          <w:p w14:paraId="35F8475D"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0D695E7" w14:textId="77777777" w:rsidR="00E4262B" w:rsidRPr="004D6D7A" w:rsidRDefault="00E4262B" w:rsidP="00E4262B">
            <w:pPr>
              <w:spacing w:after="0"/>
              <w:rPr>
                <w:sz w:val="20"/>
                <w:szCs w:val="20"/>
              </w:rPr>
            </w:pPr>
            <w:r w:rsidRPr="004D6D7A">
              <w:rPr>
                <w:color w:val="000000"/>
                <w:sz w:val="20"/>
                <w:szCs w:val="20"/>
              </w:rPr>
              <w:t>warunki i szczegółowe zasady obsługi w zakresie komunikacji</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13416D9A" w14:textId="5062344D" w:rsidR="00E4262B" w:rsidRPr="004D6D7A" w:rsidRDefault="00E36BC5" w:rsidP="00E4262B">
            <w:pPr>
              <w:rPr>
                <w:sz w:val="20"/>
                <w:szCs w:val="20"/>
              </w:rPr>
            </w:pPr>
            <w:r w:rsidRPr="004D6D7A">
              <w:rPr>
                <w:sz w:val="20"/>
                <w:szCs w:val="20"/>
                <w:u w:val="single"/>
              </w:rPr>
              <w:t>Dostęp do drogi publicznej</w:t>
            </w:r>
            <w:r w:rsidRPr="004D6D7A">
              <w:rPr>
                <w:sz w:val="20"/>
                <w:szCs w:val="20"/>
              </w:rPr>
              <w:t>: z drogi publicznej gminnej (dz. nr 1/17) – ul. Dywizjonu 303 lub poprzez drogę przy garażach</w:t>
            </w:r>
          </w:p>
        </w:tc>
      </w:tr>
      <w:tr w:rsidR="003928F8" w:rsidRPr="00BE7793" w14:paraId="0D0A4E80" w14:textId="77777777" w:rsidTr="00345502">
        <w:trPr>
          <w:trHeight w:val="45"/>
          <w:tblCellSpacing w:w="0" w:type="auto"/>
        </w:trPr>
        <w:tc>
          <w:tcPr>
            <w:tcW w:w="3119" w:type="dxa"/>
            <w:vMerge/>
            <w:tcBorders>
              <w:top w:val="nil"/>
              <w:bottom w:val="single" w:sz="8" w:space="0" w:color="000000"/>
              <w:right w:val="single" w:sz="8" w:space="0" w:color="000000"/>
            </w:tcBorders>
          </w:tcPr>
          <w:p w14:paraId="066C762D"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9FE5299" w14:textId="77777777" w:rsidR="00E4262B" w:rsidRPr="004D6D7A" w:rsidRDefault="00E4262B" w:rsidP="00E4262B">
            <w:pPr>
              <w:spacing w:after="0"/>
              <w:rPr>
                <w:sz w:val="20"/>
                <w:szCs w:val="20"/>
              </w:rPr>
            </w:pPr>
            <w:r w:rsidRPr="004D6D7A">
              <w:rPr>
                <w:color w:val="000000"/>
                <w:sz w:val="20"/>
                <w:szCs w:val="20"/>
              </w:rPr>
              <w:t>warunki i szczegółowe zasady obsługi w zakresie infrastruktury technicznej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295B03E0" w14:textId="77777777" w:rsidR="00E4262B" w:rsidRPr="004D6D7A" w:rsidRDefault="00E36BC5" w:rsidP="00E4262B">
            <w:pPr>
              <w:rPr>
                <w:sz w:val="20"/>
                <w:szCs w:val="20"/>
              </w:rPr>
            </w:pPr>
            <w:r w:rsidRPr="004D6D7A">
              <w:rPr>
                <w:sz w:val="20"/>
                <w:szCs w:val="20"/>
                <w:u w:val="single"/>
              </w:rPr>
              <w:t>Miejsca postojowe</w:t>
            </w:r>
            <w:r w:rsidRPr="004D6D7A">
              <w:rPr>
                <w:sz w:val="20"/>
                <w:szCs w:val="20"/>
              </w:rPr>
              <w:t>: nie mniej niż 1,5 miejsca postojowego/1 mieszkanie</w:t>
            </w:r>
          </w:p>
          <w:p w14:paraId="740C8896" w14:textId="77777777" w:rsidR="00E36BC5" w:rsidRPr="004D6D7A" w:rsidRDefault="00E36BC5" w:rsidP="00E4262B">
            <w:pPr>
              <w:rPr>
                <w:sz w:val="20"/>
                <w:szCs w:val="20"/>
              </w:rPr>
            </w:pPr>
            <w:r w:rsidRPr="004D6D7A">
              <w:rPr>
                <w:sz w:val="20"/>
                <w:szCs w:val="20"/>
                <w:u w:val="single"/>
              </w:rPr>
              <w:t>Zaopatrzenie w wodę</w:t>
            </w:r>
            <w:r w:rsidRPr="004D6D7A">
              <w:rPr>
                <w:sz w:val="20"/>
                <w:szCs w:val="20"/>
              </w:rPr>
              <w:t>: z sieci wodociągowej;</w:t>
            </w:r>
          </w:p>
          <w:p w14:paraId="2FBBF703" w14:textId="77777777" w:rsidR="00E36BC5" w:rsidRPr="004D6D7A" w:rsidRDefault="00E36BC5" w:rsidP="00E4262B">
            <w:pPr>
              <w:rPr>
                <w:sz w:val="20"/>
                <w:szCs w:val="20"/>
              </w:rPr>
            </w:pPr>
            <w:r w:rsidRPr="004D6D7A">
              <w:rPr>
                <w:sz w:val="20"/>
                <w:szCs w:val="20"/>
                <w:u w:val="single"/>
              </w:rPr>
              <w:t>Zaopatrzenie w energię elektryczną:</w:t>
            </w:r>
            <w:r w:rsidRPr="004D6D7A">
              <w:rPr>
                <w:sz w:val="20"/>
                <w:szCs w:val="20"/>
              </w:rPr>
              <w:t xml:space="preserve"> z sieci energetycznej;</w:t>
            </w:r>
          </w:p>
          <w:p w14:paraId="3D5A0A73" w14:textId="77777777" w:rsidR="00E36BC5" w:rsidRPr="004D6D7A" w:rsidRDefault="00E36BC5" w:rsidP="00E4262B">
            <w:pPr>
              <w:rPr>
                <w:sz w:val="20"/>
                <w:szCs w:val="20"/>
              </w:rPr>
            </w:pPr>
            <w:r w:rsidRPr="004D6D7A">
              <w:rPr>
                <w:sz w:val="20"/>
                <w:szCs w:val="20"/>
                <w:u w:val="single"/>
              </w:rPr>
              <w:t>Zaopatrzenie w energię cieplną:</w:t>
            </w:r>
            <w:r w:rsidRPr="004D6D7A">
              <w:rPr>
                <w:sz w:val="20"/>
                <w:szCs w:val="20"/>
              </w:rPr>
              <w:t xml:space="preserve"> z sieci ciepłowniczej lub z sieci gazowej lub z innego niskoemisyjnego źródła;</w:t>
            </w:r>
          </w:p>
          <w:p w14:paraId="284C958C" w14:textId="77777777" w:rsidR="00E36BC5" w:rsidRPr="004D6D7A" w:rsidRDefault="00E36BC5" w:rsidP="00E4262B">
            <w:pPr>
              <w:rPr>
                <w:sz w:val="20"/>
                <w:szCs w:val="20"/>
              </w:rPr>
            </w:pPr>
            <w:r w:rsidRPr="004D6D7A">
              <w:rPr>
                <w:sz w:val="20"/>
                <w:szCs w:val="20"/>
                <w:u w:val="single"/>
              </w:rPr>
              <w:t>Odprowadzenie wód opadowych:</w:t>
            </w:r>
            <w:r w:rsidRPr="004D6D7A">
              <w:rPr>
                <w:sz w:val="20"/>
                <w:szCs w:val="20"/>
              </w:rPr>
              <w:t xml:space="preserve"> powierzchniowo w granicach terenu objętego decyzją lub do szczelnego zbiornika. Dopuszcza się odprowadzenie wód opadowych do sieci kanalizacji deszczowej. Dopuszcza się ogrody deszczowe;</w:t>
            </w:r>
          </w:p>
          <w:p w14:paraId="0F1C68F4" w14:textId="77777777" w:rsidR="00E36BC5" w:rsidRPr="004D6D7A" w:rsidRDefault="00E36BC5" w:rsidP="00E4262B">
            <w:pPr>
              <w:rPr>
                <w:sz w:val="20"/>
                <w:szCs w:val="20"/>
              </w:rPr>
            </w:pPr>
            <w:r w:rsidRPr="004D6D7A">
              <w:rPr>
                <w:sz w:val="20"/>
                <w:szCs w:val="20"/>
                <w:u w:val="single"/>
              </w:rPr>
              <w:t>Odprowadzenie ścieków:</w:t>
            </w:r>
            <w:r w:rsidRPr="004D6D7A">
              <w:rPr>
                <w:sz w:val="20"/>
                <w:szCs w:val="20"/>
              </w:rPr>
              <w:t xml:space="preserve"> do sieci kanalizacji sanitarnej;</w:t>
            </w:r>
          </w:p>
          <w:p w14:paraId="7CB37E89" w14:textId="17B9682A" w:rsidR="00E36BC5" w:rsidRPr="004D6D7A" w:rsidRDefault="00E36BC5" w:rsidP="00E4262B">
            <w:pPr>
              <w:rPr>
                <w:sz w:val="20"/>
                <w:szCs w:val="20"/>
              </w:rPr>
            </w:pPr>
            <w:r w:rsidRPr="004D6D7A">
              <w:rPr>
                <w:sz w:val="20"/>
                <w:szCs w:val="20"/>
                <w:u w:val="single"/>
              </w:rPr>
              <w:t>Gospodarowanie odpadami komunalnymi:</w:t>
            </w:r>
            <w:r w:rsidRPr="004D6D7A">
              <w:rPr>
                <w:sz w:val="20"/>
                <w:szCs w:val="20"/>
              </w:rPr>
              <w:t xml:space="preserve"> składować w przeznaczonych na ten cel pojemnikach na terenie działki, zgodnie z obowiązującymi przepisami. Preferuje się </w:t>
            </w:r>
            <w:proofErr w:type="spellStart"/>
            <w:r w:rsidRPr="004D6D7A">
              <w:rPr>
                <w:sz w:val="20"/>
                <w:szCs w:val="20"/>
              </w:rPr>
              <w:t>półpodziemne</w:t>
            </w:r>
            <w:proofErr w:type="spellEnd"/>
            <w:r w:rsidRPr="004D6D7A">
              <w:rPr>
                <w:sz w:val="20"/>
                <w:szCs w:val="20"/>
              </w:rPr>
              <w:t xml:space="preserve"> lub podziemne punkty gromadzenia odpadów.</w:t>
            </w:r>
          </w:p>
        </w:tc>
      </w:tr>
      <w:tr w:rsidR="003928F8" w:rsidRPr="00BE7793" w14:paraId="33BBA9F9" w14:textId="77777777" w:rsidTr="00345502">
        <w:trPr>
          <w:trHeight w:val="45"/>
          <w:tblCellSpacing w:w="0" w:type="auto"/>
        </w:trPr>
        <w:tc>
          <w:tcPr>
            <w:tcW w:w="3119" w:type="dxa"/>
            <w:vMerge/>
            <w:tcBorders>
              <w:top w:val="nil"/>
              <w:bottom w:val="single" w:sz="8" w:space="0" w:color="000000"/>
              <w:right w:val="single" w:sz="8" w:space="0" w:color="000000"/>
            </w:tcBorders>
          </w:tcPr>
          <w:p w14:paraId="5F723A5F"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C363F5B" w14:textId="77777777" w:rsidR="00E4262B" w:rsidRPr="004D6D7A" w:rsidRDefault="00E4262B" w:rsidP="00E4262B">
            <w:pPr>
              <w:spacing w:after="0"/>
              <w:rPr>
                <w:sz w:val="20"/>
                <w:szCs w:val="20"/>
              </w:rPr>
            </w:pPr>
            <w:r w:rsidRPr="004D6D7A">
              <w:rPr>
                <w:color w:val="000000"/>
                <w:sz w:val="20"/>
                <w:szCs w:val="20"/>
              </w:rPr>
              <w:t>minimalny udział procentowy powierzchni biologicznie czynnej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8294EAB" w14:textId="656E5C9D" w:rsidR="00E4262B" w:rsidRPr="004D6D7A" w:rsidRDefault="00E36BC5" w:rsidP="00E4262B">
            <w:pPr>
              <w:rPr>
                <w:sz w:val="20"/>
                <w:szCs w:val="20"/>
              </w:rPr>
            </w:pPr>
            <w:r w:rsidRPr="004D6D7A">
              <w:rPr>
                <w:sz w:val="20"/>
                <w:szCs w:val="20"/>
              </w:rPr>
              <w:t>nie mniej niż 40%</w:t>
            </w:r>
          </w:p>
        </w:tc>
      </w:tr>
      <w:tr w:rsidR="003928F8" w:rsidRPr="00BE7793" w14:paraId="568A8874" w14:textId="77777777" w:rsidTr="00345502">
        <w:trPr>
          <w:trHeight w:val="45"/>
          <w:tblCellSpacing w:w="0" w:type="auto"/>
        </w:trPr>
        <w:tc>
          <w:tcPr>
            <w:tcW w:w="3119" w:type="dxa"/>
            <w:vMerge/>
            <w:tcBorders>
              <w:top w:val="nil"/>
              <w:bottom w:val="single" w:sz="8" w:space="0" w:color="000000"/>
              <w:right w:val="single" w:sz="8" w:space="0" w:color="000000"/>
            </w:tcBorders>
          </w:tcPr>
          <w:p w14:paraId="4174839C"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DE9BC75" w14:textId="77777777" w:rsidR="00E4262B" w:rsidRPr="004D6D7A" w:rsidRDefault="00E4262B" w:rsidP="00E4262B">
            <w:pPr>
              <w:spacing w:after="0"/>
              <w:rPr>
                <w:sz w:val="20"/>
                <w:szCs w:val="20"/>
              </w:rPr>
            </w:pPr>
            <w:r w:rsidRPr="004D6D7A">
              <w:rPr>
                <w:color w:val="000000"/>
                <w:sz w:val="20"/>
                <w:szCs w:val="20"/>
              </w:rPr>
              <w:t>nadziemna intensywność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7AEFA499" w14:textId="066607BA" w:rsidR="00E4262B" w:rsidRPr="004D6D7A" w:rsidRDefault="008C61C3" w:rsidP="00E4262B">
            <w:pPr>
              <w:rPr>
                <w:sz w:val="20"/>
                <w:szCs w:val="20"/>
              </w:rPr>
            </w:pPr>
            <w:r w:rsidRPr="004D6D7A">
              <w:rPr>
                <w:sz w:val="20"/>
                <w:szCs w:val="20"/>
              </w:rPr>
              <w:t>Nie wskazano, maksymalny ogólny wskaźnik zabudowy – 0,34</w:t>
            </w:r>
          </w:p>
        </w:tc>
      </w:tr>
      <w:tr w:rsidR="003928F8" w:rsidRPr="00BE7793" w14:paraId="452B02A3" w14:textId="77777777" w:rsidTr="00345502">
        <w:trPr>
          <w:trHeight w:val="45"/>
          <w:tblCellSpacing w:w="0" w:type="auto"/>
        </w:trPr>
        <w:tc>
          <w:tcPr>
            <w:tcW w:w="3119" w:type="dxa"/>
            <w:vMerge/>
            <w:tcBorders>
              <w:top w:val="nil"/>
              <w:bottom w:val="single" w:sz="8" w:space="0" w:color="000000"/>
              <w:right w:val="single" w:sz="8" w:space="0" w:color="000000"/>
            </w:tcBorders>
          </w:tcPr>
          <w:p w14:paraId="1BA1A22F" w14:textId="77777777" w:rsidR="00E4262B" w:rsidRPr="004D6D7A" w:rsidRDefault="00E4262B"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2D7A8F6" w14:textId="77777777" w:rsidR="00E4262B" w:rsidRPr="004D6D7A" w:rsidRDefault="00E4262B" w:rsidP="00E4262B">
            <w:pPr>
              <w:spacing w:after="0"/>
              <w:rPr>
                <w:sz w:val="20"/>
                <w:szCs w:val="20"/>
              </w:rPr>
            </w:pPr>
            <w:r w:rsidRPr="004D6D7A">
              <w:rPr>
                <w:color w:val="000000"/>
                <w:sz w:val="20"/>
                <w:szCs w:val="20"/>
              </w:rPr>
              <w:t>wysokość zabudowy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4679AE92" w14:textId="093F3386" w:rsidR="00E4262B" w:rsidRPr="004D6D7A" w:rsidRDefault="00A10869" w:rsidP="00E4262B">
            <w:pPr>
              <w:rPr>
                <w:sz w:val="20"/>
                <w:szCs w:val="20"/>
              </w:rPr>
            </w:pPr>
            <w:r w:rsidRPr="004D6D7A">
              <w:rPr>
                <w:sz w:val="20"/>
                <w:szCs w:val="20"/>
              </w:rPr>
              <w:t>nie mniej niż 8 m i nie więcej niż 15 m (min. 2 kondygnacje nadziemne – max. 5 kondygnacji nadziemnych). Dopuszcza się 1 kondygnację podziemną, w tym garaż podziemny</w:t>
            </w:r>
          </w:p>
        </w:tc>
      </w:tr>
      <w:tr w:rsidR="003928F8" w:rsidRPr="00BE7793" w14:paraId="26D4DFD8" w14:textId="77777777" w:rsidTr="00345502">
        <w:trPr>
          <w:trHeight w:val="45"/>
          <w:tblCellSpacing w:w="0" w:type="auto"/>
        </w:trPr>
        <w:tc>
          <w:tcPr>
            <w:tcW w:w="3119" w:type="dxa"/>
            <w:vMerge w:val="restart"/>
            <w:tcBorders>
              <w:right w:val="single" w:sz="8" w:space="0" w:color="000000"/>
            </w:tcBorders>
            <w:tcMar>
              <w:top w:w="15" w:type="dxa"/>
              <w:left w:w="15" w:type="dxa"/>
              <w:bottom w:w="15" w:type="dxa"/>
              <w:right w:w="15" w:type="dxa"/>
            </w:tcMar>
            <w:vAlign w:val="center"/>
          </w:tcPr>
          <w:p w14:paraId="1E10FAC3" w14:textId="77777777" w:rsidR="00125CB2" w:rsidRPr="004D6D7A" w:rsidRDefault="00125CB2" w:rsidP="00E4262B">
            <w:pPr>
              <w:spacing w:after="0"/>
              <w:rPr>
                <w:sz w:val="20"/>
                <w:szCs w:val="20"/>
              </w:rPr>
            </w:pPr>
            <w:r w:rsidRPr="004D6D7A">
              <w:rPr>
                <w:color w:val="000000"/>
                <w:sz w:val="20"/>
                <w:szCs w:val="20"/>
              </w:rPr>
              <w:t>Informacje dotyczące przewidzianych inwestycji w promieniu 1 km od terenu objętego przedsięwzięciem deweloperskim lub zadaniem inwestycyjnym</w:t>
            </w:r>
            <w:r w:rsidRPr="004D6D7A">
              <w:rPr>
                <w:color w:val="000000"/>
                <w:sz w:val="20"/>
                <w:szCs w:val="20"/>
                <w:vertAlign w:val="superscript"/>
              </w:rPr>
              <w:t>6</w:t>
            </w:r>
            <w:r w:rsidRPr="004D6D7A">
              <w:rPr>
                <w:color w:val="000000"/>
                <w:sz w:val="20"/>
                <w:szCs w:val="20"/>
              </w:rPr>
              <w:t>), zawarte w:</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C70D2A0" w14:textId="77777777" w:rsidR="00125CB2" w:rsidRPr="004D6D7A" w:rsidRDefault="00125CB2" w:rsidP="00E4262B">
            <w:pPr>
              <w:spacing w:after="0"/>
              <w:rPr>
                <w:sz w:val="20"/>
                <w:szCs w:val="20"/>
              </w:rPr>
            </w:pPr>
            <w:r w:rsidRPr="004D6D7A">
              <w:rPr>
                <w:color w:val="000000"/>
                <w:sz w:val="20"/>
                <w:szCs w:val="20"/>
              </w:rPr>
              <w:t>miejscowych planach zagospodarowania przestrzennego</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5F4CF80C" w14:textId="4BB3C20B" w:rsidR="00125CB2" w:rsidRPr="004D6D7A" w:rsidRDefault="00DD5BC2" w:rsidP="00E4262B">
            <w:pPr>
              <w:rPr>
                <w:sz w:val="20"/>
                <w:szCs w:val="20"/>
              </w:rPr>
            </w:pPr>
            <w:r w:rsidRPr="004D6D7A">
              <w:rPr>
                <w:sz w:val="20"/>
                <w:szCs w:val="20"/>
              </w:rPr>
              <w:t>Nie dotyczy</w:t>
            </w:r>
          </w:p>
        </w:tc>
      </w:tr>
      <w:tr w:rsidR="003928F8" w:rsidRPr="00BE7793" w14:paraId="3483D804" w14:textId="77777777" w:rsidTr="00345502">
        <w:trPr>
          <w:trHeight w:val="45"/>
          <w:tblCellSpacing w:w="0" w:type="auto"/>
        </w:trPr>
        <w:tc>
          <w:tcPr>
            <w:tcW w:w="3119" w:type="dxa"/>
            <w:vMerge/>
            <w:tcBorders>
              <w:right w:val="single" w:sz="8" w:space="0" w:color="000000"/>
            </w:tcBorders>
          </w:tcPr>
          <w:p w14:paraId="4F9C2222" w14:textId="77777777" w:rsidR="00125CB2" w:rsidRPr="004D6D7A" w:rsidRDefault="00125CB2"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3D642D3" w14:textId="77777777" w:rsidR="00125CB2" w:rsidRPr="004D6D7A" w:rsidRDefault="00125CB2" w:rsidP="00E4262B">
            <w:pPr>
              <w:spacing w:after="0"/>
              <w:rPr>
                <w:sz w:val="20"/>
                <w:szCs w:val="20"/>
              </w:rPr>
            </w:pPr>
            <w:r w:rsidRPr="004D6D7A">
              <w:rPr>
                <w:color w:val="000000"/>
                <w:sz w:val="20"/>
                <w:szCs w:val="20"/>
              </w:rPr>
              <w:t>decyzjach o warunkach zabudowy i zagospodarowania terenu</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5508F3AC" w14:textId="77777777" w:rsidR="00125CB2" w:rsidRPr="004D6D7A" w:rsidRDefault="008D5DDB" w:rsidP="00E4262B">
            <w:pPr>
              <w:rPr>
                <w:sz w:val="20"/>
                <w:szCs w:val="20"/>
              </w:rPr>
            </w:pPr>
            <w:r w:rsidRPr="004D6D7A">
              <w:rPr>
                <w:sz w:val="20"/>
                <w:szCs w:val="20"/>
              </w:rPr>
              <w:t>- decyzja nr PR.6730.D.1.7.2019 z dnia 07.08.2019 r. – budowa terenu utwardzonego z kostką brukową, z wjazdem o pow. Ok. 270-300 m</w:t>
            </w:r>
            <w:r w:rsidRPr="004D6D7A">
              <w:rPr>
                <w:sz w:val="20"/>
                <w:szCs w:val="20"/>
                <w:vertAlign w:val="superscript"/>
              </w:rPr>
              <w:t>2</w:t>
            </w:r>
            <w:r w:rsidRPr="004D6D7A">
              <w:rPr>
                <w:sz w:val="20"/>
                <w:szCs w:val="20"/>
              </w:rPr>
              <w:t xml:space="preserve"> z docelowym przeznaczeniem na parking do 10 pojazdów </w:t>
            </w:r>
          </w:p>
          <w:p w14:paraId="27503F2E" w14:textId="77777777" w:rsidR="008D5DDB" w:rsidRPr="004D6D7A" w:rsidRDefault="008D5DDB" w:rsidP="00E4262B">
            <w:pPr>
              <w:rPr>
                <w:sz w:val="20"/>
                <w:szCs w:val="20"/>
              </w:rPr>
            </w:pPr>
            <w:r w:rsidRPr="004D6D7A">
              <w:rPr>
                <w:sz w:val="20"/>
                <w:szCs w:val="20"/>
              </w:rPr>
              <w:t xml:space="preserve">- decyzja nr PR.6730.D.1.10.2020 z dnia </w:t>
            </w:r>
            <w:r w:rsidR="0085444C" w:rsidRPr="004D6D7A">
              <w:rPr>
                <w:sz w:val="20"/>
                <w:szCs w:val="20"/>
              </w:rPr>
              <w:t>28</w:t>
            </w:r>
            <w:r w:rsidRPr="004D6D7A">
              <w:rPr>
                <w:sz w:val="20"/>
                <w:szCs w:val="20"/>
              </w:rPr>
              <w:t>.0</w:t>
            </w:r>
            <w:r w:rsidR="0085444C" w:rsidRPr="004D6D7A">
              <w:rPr>
                <w:sz w:val="20"/>
                <w:szCs w:val="20"/>
              </w:rPr>
              <w:t>7</w:t>
            </w:r>
            <w:r w:rsidRPr="004D6D7A">
              <w:rPr>
                <w:sz w:val="20"/>
                <w:szCs w:val="20"/>
              </w:rPr>
              <w:t>.20</w:t>
            </w:r>
            <w:r w:rsidR="007469D2" w:rsidRPr="004D6D7A">
              <w:rPr>
                <w:sz w:val="20"/>
                <w:szCs w:val="20"/>
              </w:rPr>
              <w:t>20</w:t>
            </w:r>
            <w:r w:rsidRPr="004D6D7A">
              <w:rPr>
                <w:sz w:val="20"/>
                <w:szCs w:val="20"/>
              </w:rPr>
              <w:t xml:space="preserve"> r</w:t>
            </w:r>
            <w:r w:rsidR="007469D2" w:rsidRPr="004D6D7A">
              <w:rPr>
                <w:sz w:val="20"/>
                <w:szCs w:val="20"/>
              </w:rPr>
              <w:t xml:space="preserve">. – dla działki nr 1/124 </w:t>
            </w:r>
            <w:proofErr w:type="spellStart"/>
            <w:r w:rsidR="007469D2" w:rsidRPr="004D6D7A">
              <w:rPr>
                <w:sz w:val="20"/>
                <w:szCs w:val="20"/>
              </w:rPr>
              <w:t>obr</w:t>
            </w:r>
            <w:proofErr w:type="spellEnd"/>
            <w:r w:rsidR="007469D2" w:rsidRPr="004D6D7A">
              <w:rPr>
                <w:sz w:val="20"/>
                <w:szCs w:val="20"/>
              </w:rPr>
              <w:t xml:space="preserve">. 22 – budowa budynku </w:t>
            </w:r>
            <w:r w:rsidR="007469D2" w:rsidRPr="004D6D7A">
              <w:rPr>
                <w:sz w:val="20"/>
                <w:szCs w:val="20"/>
              </w:rPr>
              <w:lastRenderedPageBreak/>
              <w:t>mieszkalnego wielorodzinnego wraz z garażem podziemnym oraz zagospodarowaniem terenu</w:t>
            </w:r>
          </w:p>
          <w:p w14:paraId="6432395B" w14:textId="2C2C8E86" w:rsidR="007469D2" w:rsidRPr="004D6D7A" w:rsidRDefault="007469D2" w:rsidP="007469D2">
            <w:pPr>
              <w:rPr>
                <w:sz w:val="20"/>
                <w:szCs w:val="20"/>
              </w:rPr>
            </w:pPr>
            <w:r w:rsidRPr="004D6D7A">
              <w:rPr>
                <w:sz w:val="20"/>
                <w:szCs w:val="20"/>
              </w:rPr>
              <w:t xml:space="preserve">- decyzja nr PR.6730.D.1.9.2022 z dnia 05.09.2022 r. – dla działki nr 1/18 </w:t>
            </w:r>
            <w:proofErr w:type="spellStart"/>
            <w:r w:rsidRPr="004D6D7A">
              <w:rPr>
                <w:sz w:val="20"/>
                <w:szCs w:val="20"/>
              </w:rPr>
              <w:t>obr</w:t>
            </w:r>
            <w:proofErr w:type="spellEnd"/>
            <w:r w:rsidRPr="004D6D7A">
              <w:rPr>
                <w:sz w:val="20"/>
                <w:szCs w:val="20"/>
              </w:rPr>
              <w:t xml:space="preserve">. 22 – budowa budynku mieszkalnego wielorodzinnego wraz z garażem podziemnym i infrastrukturą </w:t>
            </w:r>
            <w:r w:rsidR="00B84A6E" w:rsidRPr="004D6D7A">
              <w:rPr>
                <w:sz w:val="20"/>
                <w:szCs w:val="20"/>
              </w:rPr>
              <w:t>towarzyszącą</w:t>
            </w:r>
          </w:p>
          <w:p w14:paraId="05338F77" w14:textId="77777777" w:rsidR="00B84A6E" w:rsidRPr="004D6D7A" w:rsidRDefault="00B84A6E" w:rsidP="007469D2">
            <w:pPr>
              <w:rPr>
                <w:sz w:val="20"/>
                <w:szCs w:val="20"/>
              </w:rPr>
            </w:pPr>
            <w:r w:rsidRPr="004D6D7A">
              <w:rPr>
                <w:sz w:val="20"/>
                <w:szCs w:val="20"/>
              </w:rPr>
              <w:t xml:space="preserve">- decyzja o lokalizacji inwestycji celu publicznego:  PR.6733.D.1.6.2020 z dnia 14.07.2020 r. – budowa sieci ciepłowniczej – dz. 1/23, 1/84, 1/102, 1/106, 1/107, 1/121, 1/124, 1/125, 1/126, </w:t>
            </w:r>
            <w:proofErr w:type="spellStart"/>
            <w:r w:rsidRPr="004D6D7A">
              <w:rPr>
                <w:sz w:val="20"/>
                <w:szCs w:val="20"/>
              </w:rPr>
              <w:t>obr</w:t>
            </w:r>
            <w:proofErr w:type="spellEnd"/>
            <w:r w:rsidRPr="004D6D7A">
              <w:rPr>
                <w:sz w:val="20"/>
                <w:szCs w:val="20"/>
              </w:rPr>
              <w:t>. 22</w:t>
            </w:r>
          </w:p>
          <w:p w14:paraId="3C0B6FD0" w14:textId="77777777" w:rsidR="00990115" w:rsidRPr="004D6D7A" w:rsidRDefault="00990115" w:rsidP="007469D2">
            <w:pPr>
              <w:rPr>
                <w:sz w:val="20"/>
                <w:szCs w:val="20"/>
              </w:rPr>
            </w:pPr>
            <w:r w:rsidRPr="004D6D7A">
              <w:rPr>
                <w:sz w:val="20"/>
                <w:szCs w:val="20"/>
              </w:rPr>
              <w:t>- decyzja o lokalizacji inwestycji celu publicznego:  PR.6733.D.2.8.2020 z dnia 10.09.2020 r. – budowa</w:t>
            </w:r>
            <w:r w:rsidR="002A1BCC" w:rsidRPr="004D6D7A">
              <w:rPr>
                <w:sz w:val="20"/>
                <w:szCs w:val="20"/>
              </w:rPr>
              <w:t xml:space="preserve"> układu drogowego oraz budowa sieci kanalizacji deszczowej, kanalizacji sanitarnej i sieci wodociągowej</w:t>
            </w:r>
            <w:r w:rsidRPr="004D6D7A">
              <w:rPr>
                <w:sz w:val="20"/>
                <w:szCs w:val="20"/>
              </w:rPr>
              <w:t>– dz.</w:t>
            </w:r>
            <w:r w:rsidR="002A1BCC" w:rsidRPr="004D6D7A">
              <w:rPr>
                <w:sz w:val="20"/>
                <w:szCs w:val="20"/>
              </w:rPr>
              <w:t xml:space="preserve">1/61, 1/112, 1/23, 1/120, 1/84, 1/102, 1/104, 1/105, 1/106, 1/107, 1/125, 1/101 </w:t>
            </w:r>
            <w:proofErr w:type="spellStart"/>
            <w:r w:rsidR="002A1BCC" w:rsidRPr="004D6D7A">
              <w:rPr>
                <w:sz w:val="20"/>
                <w:szCs w:val="20"/>
              </w:rPr>
              <w:t>obr</w:t>
            </w:r>
            <w:proofErr w:type="spellEnd"/>
            <w:r w:rsidR="002A1BCC" w:rsidRPr="004D6D7A">
              <w:rPr>
                <w:sz w:val="20"/>
                <w:szCs w:val="20"/>
              </w:rPr>
              <w:t>. 22</w:t>
            </w:r>
          </w:p>
          <w:p w14:paraId="3DCE75A4" w14:textId="27A19003" w:rsidR="002A1BCC" w:rsidRPr="004D6D7A" w:rsidRDefault="002A1BCC" w:rsidP="007469D2">
            <w:pPr>
              <w:rPr>
                <w:sz w:val="20"/>
                <w:szCs w:val="20"/>
              </w:rPr>
            </w:pPr>
            <w:r w:rsidRPr="004D6D7A">
              <w:rPr>
                <w:sz w:val="20"/>
                <w:szCs w:val="20"/>
              </w:rPr>
              <w:t>- decyzja o lokalizacji inwestycji celu publicznego:  PR.6733.D.1.6.2021 z dnia 24.06.2021 r. – budowa/przebudowa sieci wodociągowej z przyłączami przy ul. Dywizjonu 303 w Pruszczu Gdańskim – dz.1/13,</w:t>
            </w:r>
            <w:r w:rsidR="00EF5017" w:rsidRPr="004D6D7A">
              <w:rPr>
                <w:sz w:val="20"/>
                <w:szCs w:val="20"/>
              </w:rPr>
              <w:t xml:space="preserve"> 1/15, 1/16, 1/17, 1/18, 1/23, 1/60, 1/61, 1/111, 1/112, 1/113, 1/114, 1/115, 1/116, 1/117, 1/118, 1/119 </w:t>
            </w:r>
            <w:proofErr w:type="spellStart"/>
            <w:r w:rsidR="00EF5017" w:rsidRPr="004D6D7A">
              <w:rPr>
                <w:sz w:val="20"/>
                <w:szCs w:val="20"/>
              </w:rPr>
              <w:t>obr</w:t>
            </w:r>
            <w:proofErr w:type="spellEnd"/>
            <w:r w:rsidR="00EF5017" w:rsidRPr="004D6D7A">
              <w:rPr>
                <w:sz w:val="20"/>
                <w:szCs w:val="20"/>
              </w:rPr>
              <w:t>. 22</w:t>
            </w:r>
          </w:p>
        </w:tc>
      </w:tr>
      <w:tr w:rsidR="003928F8" w:rsidRPr="00BE7793" w14:paraId="61FB75B9" w14:textId="77777777" w:rsidTr="00345502">
        <w:trPr>
          <w:trHeight w:val="45"/>
          <w:tblCellSpacing w:w="0" w:type="auto"/>
        </w:trPr>
        <w:tc>
          <w:tcPr>
            <w:tcW w:w="3119" w:type="dxa"/>
            <w:vMerge/>
            <w:tcBorders>
              <w:right w:val="single" w:sz="8" w:space="0" w:color="000000"/>
            </w:tcBorders>
          </w:tcPr>
          <w:p w14:paraId="4102D736" w14:textId="77777777" w:rsidR="00125CB2" w:rsidRPr="004D6D7A" w:rsidRDefault="00125CB2"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5071094" w14:textId="77777777" w:rsidR="00125CB2" w:rsidRPr="004D6D7A" w:rsidRDefault="00125CB2" w:rsidP="00E4262B">
            <w:pPr>
              <w:spacing w:after="0"/>
              <w:rPr>
                <w:sz w:val="20"/>
                <w:szCs w:val="20"/>
              </w:rPr>
            </w:pPr>
            <w:r w:rsidRPr="004D6D7A">
              <w:rPr>
                <w:color w:val="000000"/>
                <w:sz w:val="20"/>
                <w:szCs w:val="20"/>
              </w:rPr>
              <w:t>decyzjach o środowiskowych uwarunkowaniach</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1B13CF11" w14:textId="67E40689" w:rsidR="006A6503" w:rsidRPr="004D6D7A" w:rsidRDefault="00150A11" w:rsidP="00E4262B">
            <w:pPr>
              <w:rPr>
                <w:sz w:val="20"/>
                <w:szCs w:val="20"/>
              </w:rPr>
            </w:pPr>
            <w:r w:rsidRPr="004D6D7A">
              <w:rPr>
                <w:sz w:val="20"/>
                <w:szCs w:val="20"/>
              </w:rPr>
              <w:t>Nie dotyczy</w:t>
            </w:r>
          </w:p>
        </w:tc>
      </w:tr>
      <w:tr w:rsidR="003928F8" w:rsidRPr="00BE7793" w14:paraId="29E0982B" w14:textId="77777777" w:rsidTr="00345502">
        <w:trPr>
          <w:trHeight w:val="45"/>
          <w:tblCellSpacing w:w="0" w:type="auto"/>
        </w:trPr>
        <w:tc>
          <w:tcPr>
            <w:tcW w:w="3119" w:type="dxa"/>
            <w:vMerge/>
            <w:tcBorders>
              <w:right w:val="single" w:sz="8" w:space="0" w:color="000000"/>
            </w:tcBorders>
          </w:tcPr>
          <w:p w14:paraId="06E01D0B" w14:textId="77777777" w:rsidR="00125CB2" w:rsidRPr="004D6D7A" w:rsidRDefault="00125CB2"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EC6D283" w14:textId="77777777" w:rsidR="00125CB2" w:rsidRPr="004D6D7A" w:rsidRDefault="00125CB2" w:rsidP="00E4262B">
            <w:pPr>
              <w:spacing w:after="0"/>
              <w:rPr>
                <w:sz w:val="20"/>
                <w:szCs w:val="20"/>
              </w:rPr>
            </w:pPr>
            <w:r w:rsidRPr="004D6D7A">
              <w:rPr>
                <w:color w:val="000000"/>
                <w:sz w:val="20"/>
                <w:szCs w:val="20"/>
              </w:rPr>
              <w:t>uchwałach o obszarach ograniczonego użytkowania</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C86C92E" w14:textId="1EE78763" w:rsidR="00125CB2" w:rsidRPr="004D6D7A" w:rsidRDefault="00F94BBE" w:rsidP="00E4262B">
            <w:pPr>
              <w:rPr>
                <w:sz w:val="20"/>
                <w:szCs w:val="20"/>
              </w:rPr>
            </w:pPr>
            <w:r w:rsidRPr="004D6D7A">
              <w:rPr>
                <w:sz w:val="20"/>
                <w:szCs w:val="20"/>
              </w:rPr>
              <w:t>Nie dotyczy</w:t>
            </w:r>
          </w:p>
        </w:tc>
      </w:tr>
      <w:tr w:rsidR="003928F8" w:rsidRPr="00BE7793" w14:paraId="31DA952A" w14:textId="77777777" w:rsidTr="00345502">
        <w:trPr>
          <w:trHeight w:val="45"/>
          <w:tblCellSpacing w:w="0" w:type="auto"/>
        </w:trPr>
        <w:tc>
          <w:tcPr>
            <w:tcW w:w="3119" w:type="dxa"/>
            <w:vMerge/>
            <w:tcBorders>
              <w:right w:val="single" w:sz="8" w:space="0" w:color="000000"/>
            </w:tcBorders>
          </w:tcPr>
          <w:p w14:paraId="283A74C7" w14:textId="77777777" w:rsidR="00125CB2" w:rsidRPr="004D6D7A" w:rsidRDefault="00125CB2" w:rsidP="00E4262B">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59EB0E3" w14:textId="77777777" w:rsidR="00125CB2" w:rsidRPr="004D6D7A" w:rsidRDefault="00125CB2" w:rsidP="00E4262B">
            <w:pPr>
              <w:spacing w:after="0"/>
              <w:rPr>
                <w:sz w:val="20"/>
                <w:szCs w:val="20"/>
              </w:rPr>
            </w:pPr>
            <w:r w:rsidRPr="004D6D7A">
              <w:rPr>
                <w:color w:val="000000"/>
                <w:sz w:val="20"/>
                <w:szCs w:val="20"/>
              </w:rPr>
              <w:t>miejscowych planach odbudowy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13F4CFF5" w14:textId="567A0692" w:rsidR="00125CB2" w:rsidRPr="004D6D7A" w:rsidRDefault="00F94BBE" w:rsidP="00E4262B">
            <w:pPr>
              <w:rPr>
                <w:sz w:val="20"/>
                <w:szCs w:val="20"/>
              </w:rPr>
            </w:pPr>
            <w:r w:rsidRPr="004D6D7A">
              <w:rPr>
                <w:sz w:val="20"/>
                <w:szCs w:val="20"/>
              </w:rPr>
              <w:t>Nie dotyczy</w:t>
            </w:r>
          </w:p>
        </w:tc>
      </w:tr>
      <w:tr w:rsidR="001B721E" w:rsidRPr="00BE7793" w14:paraId="5E4DFB3B" w14:textId="77777777" w:rsidTr="00345502">
        <w:trPr>
          <w:trHeight w:val="45"/>
          <w:tblCellSpacing w:w="0" w:type="auto"/>
        </w:trPr>
        <w:tc>
          <w:tcPr>
            <w:tcW w:w="3119" w:type="dxa"/>
            <w:vMerge/>
            <w:tcBorders>
              <w:right w:val="single" w:sz="8" w:space="0" w:color="000000"/>
            </w:tcBorders>
          </w:tcPr>
          <w:p w14:paraId="299937B6"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5FB1795" w14:textId="77777777" w:rsidR="001B721E" w:rsidRPr="004D6D7A" w:rsidRDefault="001B721E" w:rsidP="001B721E">
            <w:pPr>
              <w:spacing w:after="0"/>
              <w:rPr>
                <w:sz w:val="20"/>
                <w:szCs w:val="20"/>
              </w:rPr>
            </w:pPr>
            <w:r w:rsidRPr="004D6D7A">
              <w:rPr>
                <w:color w:val="000000"/>
                <w:sz w:val="20"/>
                <w:szCs w:val="20"/>
              </w:rPr>
              <w:t>mapach zagrożenia powodziowego i mapach ryzyka powodziowego</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3CC4A07F" w14:textId="0F93D295" w:rsidR="001B721E" w:rsidRPr="004D6D7A" w:rsidRDefault="001B721E" w:rsidP="001B721E">
            <w:pPr>
              <w:rPr>
                <w:sz w:val="20"/>
                <w:szCs w:val="20"/>
              </w:rPr>
            </w:pPr>
            <w:r w:rsidRPr="004D6D7A">
              <w:rPr>
                <w:sz w:val="20"/>
                <w:szCs w:val="20"/>
              </w:rPr>
              <w:t>- inwestycja „Przebudowa wałów przeciwpowodziowych rzeki Raduni, Kłodawy, Bielawy, m. Gdańsk i m. Pruszcz Gdański, gm. Pruszcz Gdański, Suchy Dąb, Pszczółki,, pow. gdański, woj. pomorskie  ”</w:t>
            </w:r>
          </w:p>
        </w:tc>
      </w:tr>
      <w:tr w:rsidR="001B721E" w:rsidRPr="00BE7793" w14:paraId="4F78634F" w14:textId="77777777" w:rsidTr="00345502">
        <w:trPr>
          <w:trHeight w:val="45"/>
          <w:tblCellSpacing w:w="0" w:type="auto"/>
        </w:trPr>
        <w:tc>
          <w:tcPr>
            <w:tcW w:w="3119" w:type="dxa"/>
            <w:vMerge/>
            <w:tcBorders>
              <w:right w:val="single" w:sz="8" w:space="0" w:color="000000"/>
            </w:tcBorders>
          </w:tcPr>
          <w:p w14:paraId="70ABF121" w14:textId="77777777" w:rsidR="001B721E" w:rsidRPr="004D6D7A" w:rsidRDefault="001B721E" w:rsidP="001B721E">
            <w:pPr>
              <w:rPr>
                <w:sz w:val="20"/>
                <w:szCs w:val="20"/>
              </w:rPr>
            </w:pP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0F4E7202" w14:textId="77777777" w:rsidR="001B721E" w:rsidRPr="004D6D7A" w:rsidRDefault="001B721E" w:rsidP="001B721E">
            <w:pPr>
              <w:spacing w:after="0"/>
              <w:rPr>
                <w:sz w:val="20"/>
                <w:szCs w:val="20"/>
              </w:rPr>
            </w:pPr>
            <w:r w:rsidRPr="004D6D7A">
              <w:rPr>
                <w:color w:val="000000"/>
                <w:sz w:val="20"/>
                <w:szCs w:val="20"/>
              </w:rPr>
              <w:t>Ustalenia decyzji w zakresie rozmieszczenia inwestycji celu publicznego, mogące mieć znaczenie dla terenu objętego przedsięwzięciem deweloperskim lub zadaniem inwestycyjnym:</w:t>
            </w:r>
          </w:p>
        </w:tc>
      </w:tr>
      <w:tr w:rsidR="001B721E" w:rsidRPr="00BE7793" w14:paraId="53108934" w14:textId="77777777" w:rsidTr="00345502">
        <w:trPr>
          <w:trHeight w:val="45"/>
          <w:tblCellSpacing w:w="0" w:type="auto"/>
        </w:trPr>
        <w:tc>
          <w:tcPr>
            <w:tcW w:w="3119" w:type="dxa"/>
            <w:vMerge/>
            <w:tcBorders>
              <w:right w:val="single" w:sz="8" w:space="0" w:color="000000"/>
            </w:tcBorders>
          </w:tcPr>
          <w:p w14:paraId="5886AA76"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14645C3" w14:textId="77777777" w:rsidR="001B721E" w:rsidRPr="004D6D7A" w:rsidRDefault="001B721E" w:rsidP="001B721E">
            <w:pPr>
              <w:spacing w:after="0"/>
              <w:rPr>
                <w:sz w:val="20"/>
                <w:szCs w:val="20"/>
              </w:rPr>
            </w:pPr>
            <w:r w:rsidRPr="004D6D7A">
              <w:rPr>
                <w:color w:val="000000"/>
                <w:sz w:val="20"/>
                <w:szCs w:val="20"/>
              </w:rPr>
              <w:t>decyzja o zezwoleniu na realizację inwestycji drogowej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3FEF1BF6" w14:textId="58375E86" w:rsidR="001B721E" w:rsidRPr="004D6D7A" w:rsidRDefault="001B721E" w:rsidP="001B721E">
            <w:pPr>
              <w:rPr>
                <w:sz w:val="20"/>
                <w:szCs w:val="20"/>
              </w:rPr>
            </w:pPr>
            <w:r w:rsidRPr="004D6D7A">
              <w:rPr>
                <w:sz w:val="20"/>
                <w:szCs w:val="20"/>
              </w:rPr>
              <w:t xml:space="preserve">- decyzja nr 854/2022 o zezwoleniu na realizację inwestycji drogowej </w:t>
            </w:r>
            <w:proofErr w:type="spellStart"/>
            <w:r w:rsidRPr="004D6D7A">
              <w:rPr>
                <w:sz w:val="20"/>
                <w:szCs w:val="20"/>
              </w:rPr>
              <w:t>pn</w:t>
            </w:r>
            <w:proofErr w:type="spellEnd"/>
            <w:r w:rsidRPr="004D6D7A">
              <w:rPr>
                <w:sz w:val="20"/>
                <w:szCs w:val="20"/>
              </w:rPr>
              <w:t xml:space="preserve">: Budowa układu drogowego łączącego ul. Sikorskiego z ul. Skalskiego w Pruszczu Gdańskim i układem drogowym w Cieplewie w zakresie połączenia ul. Skalskiego z drogą w Cieplewie wraz z budową kanalizacji deszczowej, oświetlenia drogowego, kanału </w:t>
            </w:r>
            <w:r w:rsidRPr="004D6D7A">
              <w:rPr>
                <w:sz w:val="20"/>
                <w:szCs w:val="20"/>
              </w:rPr>
              <w:lastRenderedPageBreak/>
              <w:t>technologicznego oraz przebudową i zabezpieczeniem sieci gazowej</w:t>
            </w:r>
          </w:p>
        </w:tc>
      </w:tr>
      <w:tr w:rsidR="001B721E" w:rsidRPr="00BE7793" w14:paraId="7912D9B9" w14:textId="77777777" w:rsidTr="00345502">
        <w:trPr>
          <w:trHeight w:val="45"/>
          <w:tblCellSpacing w:w="0" w:type="auto"/>
        </w:trPr>
        <w:tc>
          <w:tcPr>
            <w:tcW w:w="3119" w:type="dxa"/>
            <w:vMerge/>
            <w:tcBorders>
              <w:right w:val="single" w:sz="8" w:space="0" w:color="000000"/>
            </w:tcBorders>
          </w:tcPr>
          <w:p w14:paraId="3C6C6BC1"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266E991E" w14:textId="77777777" w:rsidR="001B721E" w:rsidRPr="004D6D7A" w:rsidRDefault="001B721E" w:rsidP="001B721E">
            <w:pPr>
              <w:spacing w:after="0"/>
              <w:rPr>
                <w:sz w:val="20"/>
                <w:szCs w:val="20"/>
              </w:rPr>
            </w:pPr>
            <w:r w:rsidRPr="004D6D7A">
              <w:rPr>
                <w:color w:val="000000"/>
                <w:sz w:val="20"/>
                <w:szCs w:val="20"/>
              </w:rPr>
              <w:t>decyzja o ustaleniu lokalizacji linii kolejowej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7BF4CABE" w14:textId="3D3A3EAC" w:rsidR="001B721E" w:rsidRPr="004D6D7A" w:rsidRDefault="001B721E" w:rsidP="001B721E">
            <w:pPr>
              <w:rPr>
                <w:b/>
                <w:bCs/>
                <w:sz w:val="20"/>
                <w:szCs w:val="20"/>
              </w:rPr>
            </w:pPr>
            <w:r w:rsidRPr="004D6D7A">
              <w:rPr>
                <w:sz w:val="20"/>
                <w:szCs w:val="20"/>
              </w:rPr>
              <w:t>Nie dotyczy</w:t>
            </w:r>
          </w:p>
        </w:tc>
      </w:tr>
      <w:tr w:rsidR="001B721E" w:rsidRPr="00BE7793" w14:paraId="702F85C3" w14:textId="77777777" w:rsidTr="00345502">
        <w:trPr>
          <w:trHeight w:val="45"/>
          <w:tblCellSpacing w:w="0" w:type="auto"/>
        </w:trPr>
        <w:tc>
          <w:tcPr>
            <w:tcW w:w="3119" w:type="dxa"/>
            <w:vMerge/>
            <w:tcBorders>
              <w:right w:val="single" w:sz="8" w:space="0" w:color="000000"/>
            </w:tcBorders>
          </w:tcPr>
          <w:p w14:paraId="63379467"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645198B" w14:textId="77777777" w:rsidR="001B721E" w:rsidRPr="004D6D7A" w:rsidRDefault="001B721E" w:rsidP="001B721E">
            <w:pPr>
              <w:spacing w:after="0"/>
              <w:rPr>
                <w:sz w:val="20"/>
                <w:szCs w:val="20"/>
              </w:rPr>
            </w:pPr>
            <w:r w:rsidRPr="004D6D7A">
              <w:rPr>
                <w:color w:val="000000"/>
                <w:sz w:val="20"/>
                <w:szCs w:val="20"/>
              </w:rPr>
              <w:t>decyzja o zezwoleniu na realizację inwestycji w zakresie lotniska użytku publicznego</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03F1D971" w14:textId="7E83280B" w:rsidR="001B721E" w:rsidRPr="004D6D7A" w:rsidRDefault="001B721E" w:rsidP="001B721E">
            <w:pPr>
              <w:rPr>
                <w:sz w:val="20"/>
                <w:szCs w:val="20"/>
              </w:rPr>
            </w:pPr>
            <w:r w:rsidRPr="004D6D7A">
              <w:rPr>
                <w:sz w:val="20"/>
                <w:szCs w:val="20"/>
              </w:rPr>
              <w:t>Nie dotyczy</w:t>
            </w:r>
          </w:p>
        </w:tc>
      </w:tr>
      <w:tr w:rsidR="001B721E" w:rsidRPr="00BE7793" w14:paraId="17EC0D06" w14:textId="77777777" w:rsidTr="00345502">
        <w:trPr>
          <w:trHeight w:val="45"/>
          <w:tblCellSpacing w:w="0" w:type="auto"/>
        </w:trPr>
        <w:tc>
          <w:tcPr>
            <w:tcW w:w="3119" w:type="dxa"/>
            <w:vMerge/>
            <w:tcBorders>
              <w:right w:val="single" w:sz="8" w:space="0" w:color="000000"/>
            </w:tcBorders>
          </w:tcPr>
          <w:p w14:paraId="6A2B6F24"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F53A819" w14:textId="77777777" w:rsidR="001B721E" w:rsidRPr="004D6D7A" w:rsidRDefault="001B721E" w:rsidP="001B721E">
            <w:pPr>
              <w:spacing w:after="0"/>
              <w:rPr>
                <w:sz w:val="20"/>
                <w:szCs w:val="20"/>
              </w:rPr>
            </w:pPr>
            <w:r w:rsidRPr="004D6D7A">
              <w:rPr>
                <w:color w:val="000000"/>
                <w:sz w:val="20"/>
                <w:szCs w:val="20"/>
              </w:rPr>
              <w:t>decyzja o pozwoleniu na realizację inwestycji w zakresie budowli przeciwpowodziowych</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67648FC3" w14:textId="08A42CDA" w:rsidR="001B721E" w:rsidRPr="004D6D7A" w:rsidRDefault="001B721E" w:rsidP="001B721E">
            <w:pPr>
              <w:rPr>
                <w:sz w:val="20"/>
                <w:szCs w:val="20"/>
              </w:rPr>
            </w:pPr>
            <w:r w:rsidRPr="004D6D7A">
              <w:rPr>
                <w:sz w:val="20"/>
                <w:szCs w:val="20"/>
              </w:rPr>
              <w:t>Nie dotyczy</w:t>
            </w:r>
          </w:p>
        </w:tc>
      </w:tr>
      <w:tr w:rsidR="001B721E" w:rsidRPr="00BE7793" w14:paraId="04A065EB" w14:textId="77777777" w:rsidTr="00345502">
        <w:trPr>
          <w:trHeight w:val="45"/>
          <w:tblCellSpacing w:w="0" w:type="auto"/>
        </w:trPr>
        <w:tc>
          <w:tcPr>
            <w:tcW w:w="3119" w:type="dxa"/>
            <w:vMerge/>
            <w:tcBorders>
              <w:right w:val="single" w:sz="8" w:space="0" w:color="000000"/>
            </w:tcBorders>
          </w:tcPr>
          <w:p w14:paraId="55BC6935"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81D01C7" w14:textId="77777777" w:rsidR="001B721E" w:rsidRPr="004D6D7A" w:rsidRDefault="001B721E" w:rsidP="001B721E">
            <w:pPr>
              <w:spacing w:after="0"/>
              <w:rPr>
                <w:sz w:val="20"/>
                <w:szCs w:val="20"/>
              </w:rPr>
            </w:pPr>
            <w:r w:rsidRPr="004D6D7A">
              <w:rPr>
                <w:color w:val="000000"/>
                <w:sz w:val="20"/>
                <w:szCs w:val="20"/>
              </w:rPr>
              <w:t>decyzja o ustaleniu lokalizacji inwestycji w zakresie budowy obiektu energetyki jądrowej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4BD9FBDF" w14:textId="1D596E9B" w:rsidR="001B721E" w:rsidRPr="004D6D7A" w:rsidRDefault="001B721E" w:rsidP="001B721E">
            <w:pPr>
              <w:rPr>
                <w:sz w:val="20"/>
                <w:szCs w:val="20"/>
              </w:rPr>
            </w:pPr>
            <w:r w:rsidRPr="004D6D7A">
              <w:rPr>
                <w:sz w:val="20"/>
                <w:szCs w:val="20"/>
              </w:rPr>
              <w:t>Nie dotyczy</w:t>
            </w:r>
          </w:p>
        </w:tc>
      </w:tr>
      <w:tr w:rsidR="001B721E" w:rsidRPr="00BE7793" w14:paraId="7D531F30" w14:textId="77777777" w:rsidTr="00345502">
        <w:trPr>
          <w:trHeight w:val="45"/>
          <w:tblCellSpacing w:w="0" w:type="auto"/>
        </w:trPr>
        <w:tc>
          <w:tcPr>
            <w:tcW w:w="3119" w:type="dxa"/>
            <w:vMerge/>
            <w:tcBorders>
              <w:right w:val="single" w:sz="8" w:space="0" w:color="000000"/>
            </w:tcBorders>
          </w:tcPr>
          <w:p w14:paraId="18729BED"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FD4855F" w14:textId="77777777" w:rsidR="001B721E" w:rsidRPr="004D6D7A" w:rsidRDefault="001B721E" w:rsidP="001B721E">
            <w:pPr>
              <w:spacing w:after="0"/>
              <w:rPr>
                <w:sz w:val="20"/>
                <w:szCs w:val="20"/>
              </w:rPr>
            </w:pPr>
            <w:r w:rsidRPr="004D6D7A">
              <w:rPr>
                <w:color w:val="000000"/>
                <w:sz w:val="20"/>
                <w:szCs w:val="20"/>
              </w:rPr>
              <w:t>decyzja o ustaleniu lokalizacji strategicznej inwestycji w zakresie sieci przesyłowej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170D8925" w14:textId="3FD4B3DE" w:rsidR="001B721E" w:rsidRPr="004D6D7A" w:rsidRDefault="001B721E" w:rsidP="001B721E">
            <w:pPr>
              <w:rPr>
                <w:sz w:val="20"/>
                <w:szCs w:val="20"/>
              </w:rPr>
            </w:pPr>
            <w:r w:rsidRPr="004D6D7A">
              <w:rPr>
                <w:sz w:val="20"/>
                <w:szCs w:val="20"/>
              </w:rPr>
              <w:t>- decyzja Wojewody Pomorskiego z dnia 17 marca 2023 r. nr WI-III.746.1.3.2023.NS o ustaleniu lokalizacji inwestycji celu publicznego dla przedsięwzięcia pn.: „Przebudowa sieci gazowej w Pruszczu Gdańskim, ul. Gen. Władysława Sikorskiego”, w granicach dz. nr 1/1, 1/3, obręb 0022, Pruszcz Gdański, na terenie zamkniętym.</w:t>
            </w:r>
          </w:p>
        </w:tc>
      </w:tr>
      <w:tr w:rsidR="001B721E" w:rsidRPr="00BE7793" w14:paraId="1BCFFC86" w14:textId="77777777" w:rsidTr="00345502">
        <w:trPr>
          <w:trHeight w:val="45"/>
          <w:tblCellSpacing w:w="0" w:type="auto"/>
        </w:trPr>
        <w:tc>
          <w:tcPr>
            <w:tcW w:w="3119" w:type="dxa"/>
            <w:vMerge/>
            <w:tcBorders>
              <w:right w:val="single" w:sz="8" w:space="0" w:color="000000"/>
            </w:tcBorders>
          </w:tcPr>
          <w:p w14:paraId="78E070F7"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55AAFBC" w14:textId="77777777" w:rsidR="001B721E" w:rsidRPr="004D6D7A" w:rsidRDefault="001B721E" w:rsidP="001B721E">
            <w:pPr>
              <w:spacing w:after="0"/>
              <w:rPr>
                <w:sz w:val="20"/>
                <w:szCs w:val="20"/>
              </w:rPr>
            </w:pPr>
            <w:r w:rsidRPr="004D6D7A">
              <w:rPr>
                <w:color w:val="000000"/>
                <w:sz w:val="20"/>
                <w:szCs w:val="20"/>
              </w:rPr>
              <w:t>decyzja o ustaleniu lokalizacji regionalnej sieci szerokopasmowej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1314B0D1" w14:textId="0AF4E7C2" w:rsidR="001B721E" w:rsidRPr="004D6D7A" w:rsidRDefault="001B721E" w:rsidP="001B721E">
            <w:pPr>
              <w:rPr>
                <w:sz w:val="20"/>
                <w:szCs w:val="20"/>
              </w:rPr>
            </w:pPr>
            <w:r w:rsidRPr="004D6D7A">
              <w:rPr>
                <w:sz w:val="20"/>
                <w:szCs w:val="20"/>
              </w:rPr>
              <w:t>Nie dotyczy</w:t>
            </w:r>
          </w:p>
        </w:tc>
      </w:tr>
      <w:tr w:rsidR="001B721E" w:rsidRPr="00BE7793" w14:paraId="7EE804D7" w14:textId="77777777" w:rsidTr="00345502">
        <w:trPr>
          <w:trHeight w:val="45"/>
          <w:tblCellSpacing w:w="0" w:type="auto"/>
        </w:trPr>
        <w:tc>
          <w:tcPr>
            <w:tcW w:w="3119" w:type="dxa"/>
            <w:vMerge/>
            <w:tcBorders>
              <w:right w:val="single" w:sz="8" w:space="0" w:color="000000"/>
            </w:tcBorders>
          </w:tcPr>
          <w:p w14:paraId="151755CF"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B43915C" w14:textId="77777777" w:rsidR="001B721E" w:rsidRPr="004D6D7A" w:rsidRDefault="001B721E" w:rsidP="001B721E">
            <w:pPr>
              <w:spacing w:after="0"/>
              <w:rPr>
                <w:sz w:val="20"/>
                <w:szCs w:val="20"/>
              </w:rPr>
            </w:pPr>
            <w:r w:rsidRPr="004D6D7A">
              <w:rPr>
                <w:color w:val="000000"/>
                <w:sz w:val="20"/>
                <w:szCs w:val="20"/>
              </w:rPr>
              <w:t>decyzja o ustaleniu lokalizacji inwestycji w zakresie Centralnego Portu Komunikacyjnego</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2A2C41E0" w14:textId="706BC0D6" w:rsidR="001B721E" w:rsidRPr="004D6D7A" w:rsidRDefault="001B721E" w:rsidP="001B721E">
            <w:pPr>
              <w:rPr>
                <w:sz w:val="20"/>
                <w:szCs w:val="20"/>
              </w:rPr>
            </w:pPr>
            <w:r w:rsidRPr="004D6D7A">
              <w:rPr>
                <w:sz w:val="20"/>
                <w:szCs w:val="20"/>
              </w:rPr>
              <w:t>Nie dotyczy</w:t>
            </w:r>
          </w:p>
        </w:tc>
      </w:tr>
      <w:tr w:rsidR="001B721E" w:rsidRPr="00BE7793" w14:paraId="2571B2E3" w14:textId="77777777" w:rsidTr="00345502">
        <w:trPr>
          <w:trHeight w:val="45"/>
          <w:tblCellSpacing w:w="0" w:type="auto"/>
        </w:trPr>
        <w:tc>
          <w:tcPr>
            <w:tcW w:w="3119" w:type="dxa"/>
            <w:vMerge/>
            <w:tcBorders>
              <w:right w:val="single" w:sz="8" w:space="0" w:color="000000"/>
            </w:tcBorders>
          </w:tcPr>
          <w:p w14:paraId="260E9D79" w14:textId="77777777" w:rsidR="001B721E" w:rsidRPr="004D6D7A" w:rsidRDefault="001B721E" w:rsidP="001B721E">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19BBFE0E" w14:textId="77777777" w:rsidR="001B721E" w:rsidRPr="004D6D7A" w:rsidRDefault="001B721E" w:rsidP="001B721E">
            <w:pPr>
              <w:spacing w:after="0"/>
              <w:rPr>
                <w:sz w:val="20"/>
                <w:szCs w:val="20"/>
              </w:rPr>
            </w:pPr>
            <w:r w:rsidRPr="004D6D7A">
              <w:rPr>
                <w:color w:val="000000"/>
                <w:sz w:val="20"/>
                <w:szCs w:val="20"/>
              </w:rPr>
              <w:t>decyzja o zezwoleniu na realizację inwestycji w zakresie infrastruktury dostępowej</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5C0E236B" w14:textId="1CC98E4E" w:rsidR="001B721E" w:rsidRPr="004D6D7A" w:rsidRDefault="001B721E" w:rsidP="001B721E">
            <w:pPr>
              <w:rPr>
                <w:sz w:val="20"/>
                <w:szCs w:val="20"/>
              </w:rPr>
            </w:pPr>
            <w:r w:rsidRPr="004D6D7A">
              <w:rPr>
                <w:sz w:val="20"/>
                <w:szCs w:val="20"/>
              </w:rPr>
              <w:t>Nie dotyczy</w:t>
            </w:r>
          </w:p>
        </w:tc>
      </w:tr>
      <w:tr w:rsidR="001B721E" w:rsidRPr="00BE7793" w14:paraId="3BC5B244" w14:textId="77777777" w:rsidTr="004D6D7A">
        <w:trPr>
          <w:trHeight w:val="762"/>
          <w:tblCellSpacing w:w="0" w:type="auto"/>
        </w:trPr>
        <w:tc>
          <w:tcPr>
            <w:tcW w:w="3119" w:type="dxa"/>
            <w:vMerge/>
            <w:tcBorders>
              <w:right w:val="single" w:sz="8" w:space="0" w:color="000000"/>
            </w:tcBorders>
          </w:tcPr>
          <w:p w14:paraId="15E88157" w14:textId="77777777" w:rsidR="001B721E" w:rsidRPr="004D6D7A" w:rsidRDefault="001B721E" w:rsidP="001B721E">
            <w:pPr>
              <w:rPr>
                <w:sz w:val="20"/>
                <w:szCs w:val="20"/>
              </w:rPr>
            </w:pPr>
          </w:p>
        </w:tc>
        <w:tc>
          <w:tcPr>
            <w:tcW w:w="3078" w:type="dxa"/>
            <w:tcBorders>
              <w:right w:val="single" w:sz="8" w:space="0" w:color="000000"/>
            </w:tcBorders>
            <w:tcMar>
              <w:top w:w="15" w:type="dxa"/>
              <w:left w:w="15" w:type="dxa"/>
              <w:bottom w:w="15" w:type="dxa"/>
              <w:right w:w="15" w:type="dxa"/>
            </w:tcMar>
            <w:vAlign w:val="center"/>
          </w:tcPr>
          <w:p w14:paraId="13B6960A" w14:textId="77777777" w:rsidR="001B721E" w:rsidRPr="004D6D7A" w:rsidRDefault="001B721E" w:rsidP="001B721E">
            <w:pPr>
              <w:spacing w:after="0"/>
              <w:rPr>
                <w:sz w:val="20"/>
                <w:szCs w:val="20"/>
              </w:rPr>
            </w:pPr>
            <w:r w:rsidRPr="004D6D7A">
              <w:rPr>
                <w:color w:val="000000"/>
                <w:sz w:val="20"/>
                <w:szCs w:val="20"/>
              </w:rPr>
              <w:t>decyzja o ustaleniu lokalizacji strategicznej inwestycji w sektorze naftowym</w:t>
            </w:r>
          </w:p>
        </w:tc>
        <w:tc>
          <w:tcPr>
            <w:tcW w:w="4293" w:type="dxa"/>
            <w:gridSpan w:val="2"/>
            <w:tcBorders>
              <w:right w:val="single" w:sz="8" w:space="0" w:color="000000"/>
            </w:tcBorders>
            <w:tcMar>
              <w:top w:w="15" w:type="dxa"/>
              <w:left w:w="15" w:type="dxa"/>
              <w:bottom w:w="15" w:type="dxa"/>
              <w:right w:w="15" w:type="dxa"/>
            </w:tcMar>
            <w:vAlign w:val="center"/>
          </w:tcPr>
          <w:p w14:paraId="5EA6B048" w14:textId="7B64FE3B" w:rsidR="001B721E" w:rsidRPr="004D6D7A" w:rsidRDefault="001B721E" w:rsidP="001B721E">
            <w:pPr>
              <w:rPr>
                <w:sz w:val="20"/>
                <w:szCs w:val="20"/>
              </w:rPr>
            </w:pPr>
            <w:r w:rsidRPr="004D6D7A">
              <w:rPr>
                <w:sz w:val="20"/>
                <w:szCs w:val="20"/>
              </w:rPr>
              <w:t>Nie dotyczy</w:t>
            </w:r>
          </w:p>
        </w:tc>
      </w:tr>
      <w:tr w:rsidR="001B721E" w:rsidRPr="00BE7793" w14:paraId="5E97F8EF" w14:textId="77777777" w:rsidTr="00345502">
        <w:trPr>
          <w:trHeight w:val="45"/>
          <w:tblCellSpacing w:w="0" w:type="auto"/>
        </w:trPr>
        <w:tc>
          <w:tcPr>
            <w:tcW w:w="10490" w:type="dxa"/>
            <w:gridSpan w:val="4"/>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63A8D248" w14:textId="77777777" w:rsidR="001B721E" w:rsidRPr="004D6D7A" w:rsidRDefault="001B721E" w:rsidP="001B721E">
            <w:pPr>
              <w:spacing w:after="0"/>
              <w:rPr>
                <w:sz w:val="20"/>
                <w:szCs w:val="20"/>
              </w:rPr>
            </w:pPr>
            <w:r w:rsidRPr="004D6D7A">
              <w:rPr>
                <w:b/>
                <w:color w:val="000000"/>
                <w:sz w:val="20"/>
                <w:szCs w:val="20"/>
              </w:rPr>
              <w:t>INFORMACJE DOTYCZĄCE BUDYNKU</w:t>
            </w:r>
          </w:p>
        </w:tc>
      </w:tr>
      <w:tr w:rsidR="001B721E" w:rsidRPr="00BE7793" w14:paraId="6A3A08C1"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0735CE6E" w14:textId="77777777" w:rsidR="001B721E" w:rsidRPr="004D6D7A" w:rsidRDefault="001B721E" w:rsidP="001B721E">
            <w:pPr>
              <w:spacing w:after="0"/>
              <w:rPr>
                <w:sz w:val="20"/>
                <w:szCs w:val="20"/>
              </w:rPr>
            </w:pPr>
            <w:r w:rsidRPr="004D6D7A">
              <w:rPr>
                <w:color w:val="000000"/>
                <w:sz w:val="20"/>
                <w:szCs w:val="20"/>
              </w:rPr>
              <w:t>Czy jest pozwolenie na budowę</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63D1120" w14:textId="31A15E44" w:rsidR="001B721E" w:rsidRPr="004D6D7A" w:rsidRDefault="001B721E" w:rsidP="001B721E">
            <w:pPr>
              <w:spacing w:after="0"/>
              <w:jc w:val="center"/>
              <w:rPr>
                <w:sz w:val="20"/>
                <w:szCs w:val="20"/>
              </w:rPr>
            </w:pPr>
            <w:r w:rsidRPr="004D6D7A">
              <w:rPr>
                <w:color w:val="000000"/>
                <w:sz w:val="20"/>
                <w:szCs w:val="20"/>
              </w:rPr>
              <w:t>tak</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5FC6D72F" w14:textId="79326D45" w:rsidR="001B721E" w:rsidRPr="004D6D7A" w:rsidRDefault="001B721E" w:rsidP="001B721E">
            <w:pPr>
              <w:spacing w:after="0"/>
              <w:jc w:val="center"/>
              <w:rPr>
                <w:sz w:val="20"/>
                <w:szCs w:val="20"/>
              </w:rPr>
            </w:pPr>
            <w:r w:rsidRPr="004D6D7A">
              <w:rPr>
                <w:color w:val="000000"/>
                <w:sz w:val="20"/>
                <w:szCs w:val="20"/>
              </w:rPr>
              <w:t>-----------</w:t>
            </w:r>
          </w:p>
        </w:tc>
      </w:tr>
      <w:tr w:rsidR="001B721E" w:rsidRPr="00BE7793" w14:paraId="2008A848"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4F6EB66B" w14:textId="77777777" w:rsidR="001B721E" w:rsidRPr="004D6D7A" w:rsidRDefault="001B721E" w:rsidP="001B721E">
            <w:pPr>
              <w:spacing w:after="0"/>
              <w:rPr>
                <w:sz w:val="20"/>
                <w:szCs w:val="20"/>
              </w:rPr>
            </w:pPr>
            <w:r w:rsidRPr="004D6D7A">
              <w:rPr>
                <w:color w:val="000000"/>
                <w:sz w:val="20"/>
                <w:szCs w:val="20"/>
              </w:rPr>
              <w:t>Czy pozwolenie na budowę jest ostateczne</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5590CB2" w14:textId="1E96DC1E" w:rsidR="001B721E" w:rsidRPr="004D6D7A" w:rsidRDefault="001B721E" w:rsidP="001B721E">
            <w:pPr>
              <w:spacing w:after="0"/>
              <w:jc w:val="center"/>
              <w:rPr>
                <w:sz w:val="20"/>
                <w:szCs w:val="20"/>
              </w:rPr>
            </w:pPr>
            <w:r w:rsidRPr="004D6D7A">
              <w:rPr>
                <w:color w:val="000000"/>
                <w:sz w:val="20"/>
                <w:szCs w:val="20"/>
              </w:rPr>
              <w:t>tak</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24490319" w14:textId="117E93DD" w:rsidR="001B721E" w:rsidRPr="004D6D7A" w:rsidRDefault="001B721E" w:rsidP="001B721E">
            <w:pPr>
              <w:spacing w:after="0"/>
              <w:jc w:val="center"/>
              <w:rPr>
                <w:sz w:val="20"/>
                <w:szCs w:val="20"/>
              </w:rPr>
            </w:pPr>
            <w:r w:rsidRPr="004D6D7A">
              <w:rPr>
                <w:color w:val="000000"/>
                <w:sz w:val="20"/>
                <w:szCs w:val="20"/>
              </w:rPr>
              <w:t>----------</w:t>
            </w:r>
          </w:p>
        </w:tc>
      </w:tr>
      <w:tr w:rsidR="001B721E" w:rsidRPr="00BE7793" w14:paraId="359E12BC"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072C8F9A" w14:textId="77777777" w:rsidR="001B721E" w:rsidRPr="004D6D7A" w:rsidRDefault="001B721E" w:rsidP="001B721E">
            <w:pPr>
              <w:spacing w:after="0"/>
              <w:rPr>
                <w:sz w:val="20"/>
                <w:szCs w:val="20"/>
              </w:rPr>
            </w:pPr>
            <w:r w:rsidRPr="004D6D7A">
              <w:rPr>
                <w:color w:val="000000"/>
                <w:sz w:val="20"/>
                <w:szCs w:val="20"/>
              </w:rPr>
              <w:t>Czy pozwolenie na budowę jest zaskarżone</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538DB852" w14:textId="2CEA9D0A" w:rsidR="001B721E" w:rsidRPr="004D6D7A" w:rsidRDefault="001B721E" w:rsidP="001B721E">
            <w:pPr>
              <w:spacing w:after="0"/>
              <w:jc w:val="center"/>
              <w:rPr>
                <w:sz w:val="20"/>
                <w:szCs w:val="20"/>
              </w:rPr>
            </w:pPr>
            <w:r w:rsidRPr="004D6D7A">
              <w:rPr>
                <w:color w:val="000000"/>
                <w:sz w:val="20"/>
                <w:szCs w:val="20"/>
              </w:rPr>
              <w:t>----------</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7EE51686" w14:textId="3F9765C5" w:rsidR="001B721E" w:rsidRPr="004D6D7A" w:rsidRDefault="001B721E" w:rsidP="001B721E">
            <w:pPr>
              <w:spacing w:after="0"/>
              <w:jc w:val="center"/>
              <w:rPr>
                <w:sz w:val="20"/>
                <w:szCs w:val="20"/>
              </w:rPr>
            </w:pPr>
            <w:r w:rsidRPr="004D6D7A">
              <w:rPr>
                <w:color w:val="000000"/>
                <w:sz w:val="20"/>
                <w:szCs w:val="20"/>
              </w:rPr>
              <w:t>nie</w:t>
            </w:r>
          </w:p>
        </w:tc>
      </w:tr>
      <w:tr w:rsidR="001B721E" w:rsidRPr="00BE7793" w14:paraId="70F7F37F"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0C417A1C" w14:textId="77777777" w:rsidR="001B721E" w:rsidRPr="004D6D7A" w:rsidRDefault="001B721E" w:rsidP="001B721E">
            <w:pPr>
              <w:spacing w:after="0"/>
              <w:rPr>
                <w:sz w:val="20"/>
                <w:szCs w:val="20"/>
              </w:rPr>
            </w:pPr>
            <w:r w:rsidRPr="004D6D7A">
              <w:rPr>
                <w:color w:val="000000"/>
                <w:sz w:val="20"/>
                <w:szCs w:val="20"/>
              </w:rPr>
              <w:t>Numer pozwolenia na budowę oraz nazwa organu, który je wydał</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46F64669" w14:textId="5598AD9A" w:rsidR="001B721E" w:rsidRPr="004D6D7A" w:rsidRDefault="001B721E" w:rsidP="001B721E">
            <w:pPr>
              <w:rPr>
                <w:sz w:val="20"/>
                <w:szCs w:val="20"/>
              </w:rPr>
            </w:pPr>
            <w:r w:rsidRPr="004D6D7A">
              <w:rPr>
                <w:sz w:val="20"/>
                <w:szCs w:val="20"/>
              </w:rPr>
              <w:t>Decyzja nr 951/2023 AB.6740.1173.2023.PT o zatwierdzeniu projektu zagospodarowania działki oraz projektu architektoniczno-budowlanego i udzieleniu pozwolenia na budowę, wydana dnia 27 października 2023r.  przez Starostę Gdańskiego</w:t>
            </w:r>
          </w:p>
        </w:tc>
      </w:tr>
      <w:tr w:rsidR="00D652EA" w:rsidRPr="00BE7793" w14:paraId="114702BC" w14:textId="26234D92" w:rsidTr="00345502">
        <w:trPr>
          <w:trHeight w:val="45"/>
          <w:tblCellSpacing w:w="0" w:type="auto"/>
        </w:trPr>
        <w:tc>
          <w:tcPr>
            <w:tcW w:w="6971" w:type="dxa"/>
            <w:gridSpan w:val="3"/>
            <w:tcBorders>
              <w:bottom w:val="single" w:sz="8" w:space="0" w:color="000000"/>
              <w:right w:val="single" w:sz="4" w:space="0" w:color="auto"/>
            </w:tcBorders>
            <w:tcMar>
              <w:top w:w="15" w:type="dxa"/>
              <w:left w:w="15" w:type="dxa"/>
              <w:bottom w:w="15" w:type="dxa"/>
              <w:right w:w="15" w:type="dxa"/>
            </w:tcMar>
            <w:vAlign w:val="center"/>
          </w:tcPr>
          <w:p w14:paraId="4401B9F0" w14:textId="3F3498D5" w:rsidR="00D652EA" w:rsidRPr="004D6D7A" w:rsidRDefault="00D652EA" w:rsidP="00D652EA">
            <w:pPr>
              <w:rPr>
                <w:sz w:val="20"/>
                <w:szCs w:val="20"/>
              </w:rPr>
            </w:pPr>
            <w:r w:rsidRPr="004D6D7A">
              <w:rPr>
                <w:color w:val="000000"/>
                <w:sz w:val="20"/>
                <w:szCs w:val="20"/>
              </w:rPr>
              <w:t>Data uprawomocnienia się decyzji o pozwoleniu na użytkowanie budynku</w:t>
            </w:r>
          </w:p>
        </w:tc>
        <w:tc>
          <w:tcPr>
            <w:tcW w:w="3519" w:type="dxa"/>
            <w:tcBorders>
              <w:left w:val="single" w:sz="4" w:space="0" w:color="auto"/>
              <w:bottom w:val="single" w:sz="8" w:space="0" w:color="000000"/>
              <w:right w:val="single" w:sz="8" w:space="0" w:color="000000"/>
            </w:tcBorders>
            <w:vAlign w:val="center"/>
          </w:tcPr>
          <w:p w14:paraId="3363B18E" w14:textId="6C3E8302" w:rsidR="00D652EA" w:rsidRPr="004D6D7A" w:rsidRDefault="00D652EA" w:rsidP="00D652EA">
            <w:pPr>
              <w:rPr>
                <w:sz w:val="20"/>
                <w:szCs w:val="20"/>
              </w:rPr>
            </w:pPr>
            <w:r>
              <w:rPr>
                <w:b/>
                <w:bCs/>
                <w:sz w:val="20"/>
                <w:szCs w:val="20"/>
              </w:rPr>
              <w:t>21.04.2026 r.</w:t>
            </w:r>
          </w:p>
        </w:tc>
      </w:tr>
      <w:tr w:rsidR="00D652EA" w:rsidRPr="00BE7793" w14:paraId="63ED08E3" w14:textId="0B18246F" w:rsidTr="00345502">
        <w:trPr>
          <w:trHeight w:val="45"/>
          <w:tblCellSpacing w:w="0" w:type="auto"/>
        </w:trPr>
        <w:tc>
          <w:tcPr>
            <w:tcW w:w="6971" w:type="dxa"/>
            <w:gridSpan w:val="3"/>
            <w:tcBorders>
              <w:bottom w:val="single" w:sz="8" w:space="0" w:color="000000"/>
              <w:right w:val="single" w:sz="4" w:space="0" w:color="auto"/>
            </w:tcBorders>
            <w:tcMar>
              <w:top w:w="15" w:type="dxa"/>
              <w:left w:w="15" w:type="dxa"/>
              <w:bottom w:w="15" w:type="dxa"/>
              <w:right w:w="15" w:type="dxa"/>
            </w:tcMar>
            <w:vAlign w:val="center"/>
          </w:tcPr>
          <w:p w14:paraId="042A402F" w14:textId="5243D4B8" w:rsidR="00D652EA" w:rsidRPr="004D6D7A" w:rsidRDefault="00D652EA" w:rsidP="00D652EA">
            <w:pPr>
              <w:rPr>
                <w:sz w:val="20"/>
                <w:szCs w:val="20"/>
              </w:rPr>
            </w:pPr>
            <w:r w:rsidRPr="004D6D7A">
              <w:rPr>
                <w:color w:val="000000"/>
                <w:sz w:val="20"/>
                <w:szCs w:val="20"/>
              </w:rPr>
              <w:t xml:space="preserve">Numer zgłoszenia budowy, o której mowa w </w:t>
            </w:r>
            <w:r w:rsidRPr="004D6D7A">
              <w:rPr>
                <w:color w:val="1B1B1B"/>
                <w:sz w:val="20"/>
                <w:szCs w:val="20"/>
              </w:rPr>
              <w:t>art. 29 ust. 1 pkt 1</w:t>
            </w:r>
            <w:r w:rsidRPr="004D6D7A">
              <w:rPr>
                <w:color w:val="000000"/>
                <w:sz w:val="20"/>
                <w:szCs w:val="20"/>
              </w:rPr>
              <w:t xml:space="preserve"> ustawy z dnia 7 lipca 1994 r. - Prawo budowlane (Dz. U. z 2021 r. poz. 2351, z </w:t>
            </w:r>
            <w:proofErr w:type="spellStart"/>
            <w:r w:rsidRPr="004D6D7A">
              <w:rPr>
                <w:color w:val="000000"/>
                <w:sz w:val="20"/>
                <w:szCs w:val="20"/>
              </w:rPr>
              <w:t>późn</w:t>
            </w:r>
            <w:proofErr w:type="spellEnd"/>
            <w:r w:rsidRPr="004D6D7A">
              <w:rPr>
                <w:color w:val="000000"/>
                <w:sz w:val="20"/>
                <w:szCs w:val="20"/>
              </w:rPr>
              <w:t>. zm.), oraz oznaczenie organu, do którego dokonano zgłoszenia, wraz z informacją o braku wniesienia sprzeciwu przez ten organ</w:t>
            </w:r>
          </w:p>
        </w:tc>
        <w:tc>
          <w:tcPr>
            <w:tcW w:w="3519" w:type="dxa"/>
            <w:tcBorders>
              <w:left w:val="single" w:sz="4" w:space="0" w:color="auto"/>
              <w:bottom w:val="single" w:sz="8" w:space="0" w:color="000000"/>
              <w:right w:val="single" w:sz="8" w:space="0" w:color="000000"/>
            </w:tcBorders>
            <w:vAlign w:val="center"/>
          </w:tcPr>
          <w:p w14:paraId="383A6D3F" w14:textId="09FC687E" w:rsidR="00D652EA" w:rsidRPr="004D6D7A" w:rsidRDefault="00D652EA" w:rsidP="00D652EA">
            <w:pPr>
              <w:rPr>
                <w:sz w:val="20"/>
                <w:szCs w:val="20"/>
              </w:rPr>
            </w:pPr>
            <w:r w:rsidRPr="004D6D7A">
              <w:rPr>
                <w:sz w:val="20"/>
                <w:szCs w:val="20"/>
              </w:rPr>
              <w:t>Nie dotyczy</w:t>
            </w:r>
          </w:p>
        </w:tc>
      </w:tr>
      <w:tr w:rsidR="00D652EA" w:rsidRPr="00BE7793" w14:paraId="22069857" w14:textId="10BC543E" w:rsidTr="00345502">
        <w:trPr>
          <w:trHeight w:val="45"/>
          <w:tblCellSpacing w:w="0" w:type="auto"/>
        </w:trPr>
        <w:tc>
          <w:tcPr>
            <w:tcW w:w="6971" w:type="dxa"/>
            <w:gridSpan w:val="3"/>
            <w:tcBorders>
              <w:bottom w:val="single" w:sz="8" w:space="0" w:color="000000"/>
              <w:right w:val="single" w:sz="4" w:space="0" w:color="auto"/>
            </w:tcBorders>
            <w:tcMar>
              <w:top w:w="15" w:type="dxa"/>
              <w:left w:w="15" w:type="dxa"/>
              <w:bottom w:w="15" w:type="dxa"/>
              <w:right w:w="15" w:type="dxa"/>
            </w:tcMar>
            <w:vAlign w:val="center"/>
          </w:tcPr>
          <w:p w14:paraId="60FE977E" w14:textId="07E07BCA" w:rsidR="00D652EA" w:rsidRPr="004D6D7A" w:rsidRDefault="00D652EA" w:rsidP="00D652EA">
            <w:pPr>
              <w:rPr>
                <w:sz w:val="20"/>
                <w:szCs w:val="20"/>
              </w:rPr>
            </w:pPr>
            <w:r w:rsidRPr="004D6D7A">
              <w:rPr>
                <w:color w:val="000000"/>
                <w:sz w:val="20"/>
                <w:szCs w:val="20"/>
              </w:rPr>
              <w:lastRenderedPageBreak/>
              <w:t>Data zakończenia budowy domu jednorodzinnego</w:t>
            </w:r>
          </w:p>
        </w:tc>
        <w:tc>
          <w:tcPr>
            <w:tcW w:w="3519" w:type="dxa"/>
            <w:tcBorders>
              <w:left w:val="single" w:sz="4" w:space="0" w:color="auto"/>
              <w:bottom w:val="single" w:sz="8" w:space="0" w:color="000000"/>
              <w:right w:val="single" w:sz="8" w:space="0" w:color="000000"/>
            </w:tcBorders>
            <w:vAlign w:val="center"/>
          </w:tcPr>
          <w:p w14:paraId="23F89A94" w14:textId="2B57F7F6" w:rsidR="00D652EA" w:rsidRPr="004D6D7A" w:rsidRDefault="00D652EA" w:rsidP="00D652EA">
            <w:pPr>
              <w:rPr>
                <w:sz w:val="20"/>
                <w:szCs w:val="20"/>
              </w:rPr>
            </w:pPr>
            <w:r w:rsidRPr="004D6D7A">
              <w:rPr>
                <w:sz w:val="20"/>
                <w:szCs w:val="20"/>
              </w:rPr>
              <w:t>Nie dotyczy</w:t>
            </w:r>
          </w:p>
        </w:tc>
      </w:tr>
      <w:tr w:rsidR="00D652EA" w:rsidRPr="00BE7793" w14:paraId="713B0954"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720EF3BB" w14:textId="77777777" w:rsidR="00D652EA" w:rsidRPr="004D6D7A" w:rsidRDefault="00D652EA" w:rsidP="00D652EA">
            <w:pPr>
              <w:spacing w:after="0"/>
              <w:rPr>
                <w:sz w:val="20"/>
                <w:szCs w:val="20"/>
              </w:rPr>
            </w:pPr>
            <w:r w:rsidRPr="004D6D7A">
              <w:rPr>
                <w:color w:val="000000"/>
                <w:sz w:val="20"/>
                <w:szCs w:val="20"/>
              </w:rPr>
              <w:t>Planowany termin rozpoczęcia i zakończenia robót budowlanych</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03A47EBE" w14:textId="619FA0DA" w:rsidR="00D652EA" w:rsidRPr="004D6D7A" w:rsidRDefault="00D652EA" w:rsidP="00D652EA">
            <w:pPr>
              <w:rPr>
                <w:sz w:val="20"/>
                <w:szCs w:val="20"/>
              </w:rPr>
            </w:pPr>
            <w:r w:rsidRPr="004D6D7A">
              <w:rPr>
                <w:sz w:val="20"/>
                <w:szCs w:val="20"/>
              </w:rPr>
              <w:t>Planowane rozpoczęcie robót budowlanych: listopad 2023</w:t>
            </w:r>
          </w:p>
          <w:p w14:paraId="42A93AA1" w14:textId="54A1AD43" w:rsidR="00D652EA" w:rsidRPr="004D6D7A" w:rsidRDefault="00D652EA" w:rsidP="00D652EA">
            <w:pPr>
              <w:rPr>
                <w:sz w:val="20"/>
                <w:szCs w:val="20"/>
              </w:rPr>
            </w:pPr>
            <w:r w:rsidRPr="004D6D7A">
              <w:rPr>
                <w:sz w:val="20"/>
                <w:szCs w:val="20"/>
              </w:rPr>
              <w:t>Planowane zakończenie robót budowlanych: 31 grudzień 2025</w:t>
            </w:r>
          </w:p>
        </w:tc>
      </w:tr>
      <w:tr w:rsidR="00D652EA" w:rsidRPr="00BE7793" w14:paraId="3B6A63D6"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00E1C95D" w14:textId="77777777" w:rsidR="00D652EA" w:rsidRPr="004D6D7A" w:rsidRDefault="00D652EA" w:rsidP="00D652EA">
            <w:pPr>
              <w:spacing w:after="0"/>
              <w:rPr>
                <w:sz w:val="20"/>
                <w:szCs w:val="20"/>
              </w:rPr>
            </w:pPr>
            <w:r w:rsidRPr="004D6D7A">
              <w:rPr>
                <w:color w:val="000000"/>
                <w:sz w:val="20"/>
                <w:szCs w:val="20"/>
              </w:rPr>
              <w:t>Opis przedsięwzięcia deweloperskiego lub zadania inwestycyjnego</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70F6B359" w14:textId="77777777" w:rsidR="00D652EA" w:rsidRPr="004D6D7A" w:rsidRDefault="00D652EA" w:rsidP="00D652EA">
            <w:pPr>
              <w:spacing w:after="0"/>
              <w:rPr>
                <w:sz w:val="20"/>
                <w:szCs w:val="20"/>
              </w:rPr>
            </w:pPr>
            <w:r w:rsidRPr="004D6D7A">
              <w:rPr>
                <w:color w:val="000000"/>
                <w:sz w:val="20"/>
                <w:szCs w:val="20"/>
              </w:rPr>
              <w:t>Liczba budynków</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434B50DF" w14:textId="7DFD115A" w:rsidR="00D652EA" w:rsidRPr="004D6D7A" w:rsidRDefault="00D652EA" w:rsidP="00D652EA">
            <w:pPr>
              <w:jc w:val="center"/>
              <w:rPr>
                <w:sz w:val="20"/>
                <w:szCs w:val="20"/>
              </w:rPr>
            </w:pPr>
            <w:r w:rsidRPr="004D6D7A">
              <w:rPr>
                <w:sz w:val="20"/>
                <w:szCs w:val="20"/>
              </w:rPr>
              <w:t>1</w:t>
            </w:r>
          </w:p>
        </w:tc>
      </w:tr>
      <w:tr w:rsidR="00D652EA" w:rsidRPr="00BE7793" w14:paraId="10326C59" w14:textId="77777777" w:rsidTr="00345502">
        <w:trPr>
          <w:trHeight w:val="45"/>
          <w:tblCellSpacing w:w="0" w:type="auto"/>
        </w:trPr>
        <w:tc>
          <w:tcPr>
            <w:tcW w:w="3119" w:type="dxa"/>
            <w:vMerge/>
            <w:tcBorders>
              <w:top w:val="nil"/>
              <w:bottom w:val="single" w:sz="8" w:space="0" w:color="000000"/>
              <w:right w:val="single" w:sz="8" w:space="0" w:color="000000"/>
            </w:tcBorders>
          </w:tcPr>
          <w:p w14:paraId="7B84E700" w14:textId="77777777" w:rsidR="00D652EA" w:rsidRPr="004D6D7A" w:rsidRDefault="00D652EA" w:rsidP="00D652EA">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49ED82C" w14:textId="77777777" w:rsidR="00D652EA" w:rsidRPr="004D6D7A" w:rsidRDefault="00D652EA" w:rsidP="00D652EA">
            <w:pPr>
              <w:spacing w:after="0"/>
              <w:rPr>
                <w:sz w:val="20"/>
                <w:szCs w:val="20"/>
              </w:rPr>
            </w:pPr>
            <w:r w:rsidRPr="004D6D7A">
              <w:rPr>
                <w:color w:val="000000"/>
                <w:sz w:val="20"/>
                <w:szCs w:val="20"/>
              </w:rPr>
              <w:t>Rozmieszczenie budynków na nieruchomości (należy podać minimalny odstęp między budynkami)</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4CD7DC7C" w14:textId="39743ED7" w:rsidR="00D652EA" w:rsidRPr="004D6D7A" w:rsidRDefault="00D652EA" w:rsidP="00D652EA">
            <w:pPr>
              <w:jc w:val="center"/>
              <w:rPr>
                <w:sz w:val="20"/>
                <w:szCs w:val="20"/>
              </w:rPr>
            </w:pPr>
            <w:r w:rsidRPr="004D6D7A">
              <w:rPr>
                <w:sz w:val="20"/>
                <w:szCs w:val="20"/>
              </w:rPr>
              <w:t>Nie dotyczy</w:t>
            </w:r>
          </w:p>
        </w:tc>
      </w:tr>
      <w:tr w:rsidR="00D652EA" w:rsidRPr="00BE7793" w14:paraId="0BB8596F"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79734A00" w14:textId="77777777" w:rsidR="00D652EA" w:rsidRPr="004D6D7A" w:rsidRDefault="00D652EA" w:rsidP="00D652EA">
            <w:pPr>
              <w:spacing w:after="0"/>
              <w:rPr>
                <w:sz w:val="20"/>
                <w:szCs w:val="20"/>
              </w:rPr>
            </w:pPr>
            <w:r w:rsidRPr="004D6D7A">
              <w:rPr>
                <w:color w:val="000000"/>
                <w:sz w:val="20"/>
                <w:szCs w:val="20"/>
              </w:rPr>
              <w:t>Sposób pomiaru powierzchni użytkowej lokalu mieszkalnego albo domu jednorodzinnego</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56EAE0A1" w14:textId="03C74CF4" w:rsidR="00D652EA" w:rsidRPr="004D6D7A" w:rsidRDefault="00D652EA" w:rsidP="00D652EA">
            <w:pPr>
              <w:rPr>
                <w:sz w:val="20"/>
                <w:szCs w:val="20"/>
              </w:rPr>
            </w:pPr>
            <w:r w:rsidRPr="00301D45">
              <w:rPr>
                <w:sz w:val="20"/>
                <w:szCs w:val="20"/>
              </w:rPr>
              <w:t>Powierzchnia użytkowa lokalu, która zostanie ujawniona w księdze wieczystej założonej dla lokalu, zostanie ustalona ostatecznie na podstawie pomiarów powykonawczych zgodnie z normą PN-ISO 9836:2022-07, z uwzględnieniem przepisów dotyczących zaliczania do tej powierzchni pomieszczeń przynależnych zależnie od ich wysokości zgodnie z ustawą o podatkach i opłatach lokalnych z dnia z dnia 12 stycznia 1991 r. ze zmianami. Powierzchnia użytkowa lokalu stanowi podstawy obliczenia ostatecznej ceny nabycia lokalu. Powierzchnia użytkowa lokalu wpisana do księgi wieczystej stanowi podstawę określenia wielkości udziału przypadającego nabywcy we współwłasności nieruchomości wspólnej.</w:t>
            </w:r>
          </w:p>
        </w:tc>
      </w:tr>
      <w:tr w:rsidR="00D652EA" w:rsidRPr="00BE7793" w14:paraId="6323C0D9"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3A4B9BBD" w14:textId="77777777" w:rsidR="00D652EA" w:rsidRPr="004D6D7A" w:rsidRDefault="00D652EA" w:rsidP="00D652EA">
            <w:pPr>
              <w:spacing w:after="0"/>
              <w:rPr>
                <w:sz w:val="20"/>
                <w:szCs w:val="20"/>
              </w:rPr>
            </w:pPr>
            <w:r w:rsidRPr="004D6D7A">
              <w:rPr>
                <w:color w:val="000000"/>
                <w:sz w:val="20"/>
                <w:szCs w:val="20"/>
              </w:rPr>
              <w:t>Zamierzony sposób i procentowy udział źródeł finansowania przedsięwzięcia deweloperskiego lub zadania inwestycyjnego</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01A28625" w14:textId="77777777" w:rsidR="00D652EA" w:rsidRPr="004D6D7A" w:rsidRDefault="00D652EA" w:rsidP="00D652EA">
            <w:pPr>
              <w:spacing w:after="0"/>
              <w:rPr>
                <w:sz w:val="20"/>
                <w:szCs w:val="20"/>
              </w:rPr>
            </w:pPr>
            <w:r w:rsidRPr="004D6D7A">
              <w:rPr>
                <w:color w:val="000000"/>
                <w:sz w:val="20"/>
                <w:szCs w:val="20"/>
              </w:rPr>
              <w:t>Rodzaj posiadanych środków finansowych - kredyt, środki własne, inne</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5300DCCF" w14:textId="2E892A40" w:rsidR="00D652EA" w:rsidRPr="004D6D7A" w:rsidRDefault="00D652EA" w:rsidP="00D652EA">
            <w:pPr>
              <w:jc w:val="center"/>
              <w:rPr>
                <w:sz w:val="20"/>
                <w:szCs w:val="20"/>
              </w:rPr>
            </w:pPr>
            <w:r w:rsidRPr="004D6D7A">
              <w:rPr>
                <w:sz w:val="20"/>
                <w:szCs w:val="20"/>
              </w:rPr>
              <w:t>środki własne</w:t>
            </w:r>
          </w:p>
        </w:tc>
      </w:tr>
      <w:tr w:rsidR="00D652EA" w:rsidRPr="00BE7793" w14:paraId="40AD5C72" w14:textId="77777777" w:rsidTr="00345502">
        <w:trPr>
          <w:trHeight w:val="45"/>
          <w:tblCellSpacing w:w="0" w:type="auto"/>
        </w:trPr>
        <w:tc>
          <w:tcPr>
            <w:tcW w:w="3119" w:type="dxa"/>
            <w:vMerge/>
            <w:tcBorders>
              <w:top w:val="nil"/>
              <w:bottom w:val="single" w:sz="8" w:space="0" w:color="000000"/>
              <w:right w:val="single" w:sz="8" w:space="0" w:color="000000"/>
            </w:tcBorders>
          </w:tcPr>
          <w:p w14:paraId="6DAA2D5B" w14:textId="77777777" w:rsidR="00D652EA" w:rsidRPr="004D6D7A" w:rsidRDefault="00D652EA" w:rsidP="00D652EA">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349AE4CF" w14:textId="77777777" w:rsidR="00D652EA" w:rsidRPr="004D6D7A" w:rsidRDefault="00D652EA" w:rsidP="00D652EA">
            <w:pPr>
              <w:spacing w:after="0"/>
              <w:rPr>
                <w:sz w:val="20"/>
                <w:szCs w:val="20"/>
              </w:rPr>
            </w:pPr>
            <w:r w:rsidRPr="004D6D7A">
              <w:rPr>
                <w:color w:val="000000"/>
                <w:sz w:val="20"/>
                <w:szCs w:val="20"/>
              </w:rPr>
              <w:t>W następujących instytucjach finansowych (wypełnia się w przypadku kredytu)</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3548B0A4" w14:textId="3855F0DB" w:rsidR="00D652EA" w:rsidRPr="004D6D7A" w:rsidRDefault="00D652EA" w:rsidP="00D652EA">
            <w:pPr>
              <w:jc w:val="center"/>
              <w:rPr>
                <w:sz w:val="20"/>
                <w:szCs w:val="20"/>
              </w:rPr>
            </w:pPr>
            <w:r w:rsidRPr="004D6D7A">
              <w:rPr>
                <w:sz w:val="20"/>
                <w:szCs w:val="20"/>
              </w:rPr>
              <w:t>Nie dotyczy</w:t>
            </w:r>
          </w:p>
        </w:tc>
      </w:tr>
      <w:tr w:rsidR="00D652EA" w:rsidRPr="00BE7793" w14:paraId="4328B042" w14:textId="77777777" w:rsidTr="00345502">
        <w:trPr>
          <w:trHeight w:val="45"/>
          <w:tblCellSpacing w:w="0" w:type="auto"/>
        </w:trPr>
        <w:tc>
          <w:tcPr>
            <w:tcW w:w="3119" w:type="dxa"/>
            <w:vMerge w:val="restart"/>
            <w:tcBorders>
              <w:bottom w:val="single" w:sz="8" w:space="0" w:color="000000"/>
              <w:right w:val="single" w:sz="8" w:space="0" w:color="000000"/>
            </w:tcBorders>
            <w:tcMar>
              <w:top w:w="15" w:type="dxa"/>
              <w:left w:w="15" w:type="dxa"/>
              <w:bottom w:w="15" w:type="dxa"/>
              <w:right w:w="15" w:type="dxa"/>
            </w:tcMar>
            <w:vAlign w:val="center"/>
          </w:tcPr>
          <w:p w14:paraId="55C04539" w14:textId="77777777" w:rsidR="00D652EA" w:rsidRPr="004D6D7A" w:rsidRDefault="00D652EA" w:rsidP="00D652EA">
            <w:pPr>
              <w:spacing w:after="0"/>
              <w:rPr>
                <w:sz w:val="20"/>
                <w:szCs w:val="20"/>
              </w:rPr>
            </w:pPr>
            <w:r w:rsidRPr="004D6D7A">
              <w:rPr>
                <w:color w:val="000000"/>
                <w:sz w:val="20"/>
                <w:szCs w:val="20"/>
              </w:rPr>
              <w:t>Środki ochrony nabywców</w:t>
            </w: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4C2C844E" w14:textId="40FDF34A" w:rsidR="00D652EA" w:rsidRPr="004D6D7A" w:rsidRDefault="00D652EA" w:rsidP="00D652EA">
            <w:pPr>
              <w:spacing w:after="0"/>
              <w:rPr>
                <w:sz w:val="20"/>
                <w:szCs w:val="20"/>
              </w:rPr>
            </w:pPr>
            <w:r w:rsidRPr="004D6D7A">
              <w:rPr>
                <w:color w:val="000000"/>
                <w:sz w:val="20"/>
                <w:szCs w:val="20"/>
              </w:rPr>
              <w:t>Otwarty mieszkaniowy rachunek powierniczy</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62DC940D" w14:textId="5E962141" w:rsidR="00D652EA" w:rsidRPr="004D6D7A" w:rsidRDefault="00D652EA" w:rsidP="00D652EA">
            <w:pPr>
              <w:spacing w:after="0"/>
              <w:jc w:val="center"/>
              <w:rPr>
                <w:sz w:val="20"/>
                <w:szCs w:val="20"/>
              </w:rPr>
            </w:pPr>
            <w:r w:rsidRPr="004D6D7A">
              <w:rPr>
                <w:color w:val="000000"/>
                <w:sz w:val="20"/>
                <w:szCs w:val="20"/>
              </w:rPr>
              <w:t>tak</w:t>
            </w:r>
          </w:p>
        </w:tc>
      </w:tr>
      <w:tr w:rsidR="00D652EA" w:rsidRPr="00BE7793" w14:paraId="14602159" w14:textId="77777777" w:rsidTr="00345502">
        <w:trPr>
          <w:trHeight w:val="45"/>
          <w:tblCellSpacing w:w="0" w:type="auto"/>
        </w:trPr>
        <w:tc>
          <w:tcPr>
            <w:tcW w:w="3119" w:type="dxa"/>
            <w:vMerge/>
            <w:tcBorders>
              <w:top w:val="nil"/>
              <w:bottom w:val="single" w:sz="8" w:space="0" w:color="000000"/>
              <w:right w:val="single" w:sz="8" w:space="0" w:color="000000"/>
            </w:tcBorders>
          </w:tcPr>
          <w:p w14:paraId="0AFE9F48" w14:textId="77777777" w:rsidR="00D652EA" w:rsidRPr="004D6D7A" w:rsidRDefault="00D652EA" w:rsidP="00D652EA">
            <w:pPr>
              <w:rPr>
                <w:sz w:val="20"/>
                <w:szCs w:val="20"/>
              </w:rPr>
            </w:pPr>
          </w:p>
        </w:tc>
        <w:tc>
          <w:tcPr>
            <w:tcW w:w="3078" w:type="dxa"/>
            <w:tcBorders>
              <w:bottom w:val="single" w:sz="8" w:space="0" w:color="000000"/>
              <w:right w:val="single" w:sz="8" w:space="0" w:color="000000"/>
            </w:tcBorders>
            <w:tcMar>
              <w:top w:w="15" w:type="dxa"/>
              <w:left w:w="15" w:type="dxa"/>
              <w:bottom w:w="15" w:type="dxa"/>
              <w:right w:w="15" w:type="dxa"/>
            </w:tcMar>
            <w:vAlign w:val="center"/>
          </w:tcPr>
          <w:p w14:paraId="653155AF" w14:textId="77777777" w:rsidR="00D652EA" w:rsidRPr="004D6D7A" w:rsidRDefault="00D652EA" w:rsidP="00D652EA">
            <w:pPr>
              <w:spacing w:after="0"/>
              <w:rPr>
                <w:sz w:val="20"/>
                <w:szCs w:val="20"/>
              </w:rPr>
            </w:pPr>
            <w:r w:rsidRPr="004D6D7A">
              <w:rPr>
                <w:color w:val="000000"/>
                <w:sz w:val="20"/>
                <w:szCs w:val="20"/>
              </w:rPr>
              <w:t>Wysokość stawki procentowej, według której jest obliczana kwota składki na Deweloperski Fundusz Gwarancyjny</w:t>
            </w:r>
            <w:r w:rsidRPr="004D6D7A">
              <w:rPr>
                <w:color w:val="000000"/>
                <w:sz w:val="20"/>
                <w:szCs w:val="20"/>
                <w:vertAlign w:val="superscript"/>
              </w:rPr>
              <w:t>7</w:t>
            </w:r>
            <w:r w:rsidRPr="004D6D7A">
              <w:rPr>
                <w:color w:val="000000"/>
                <w:sz w:val="20"/>
                <w:szCs w:val="20"/>
              </w:rPr>
              <w:t>)</w:t>
            </w:r>
          </w:p>
        </w:tc>
        <w:tc>
          <w:tcPr>
            <w:tcW w:w="4293" w:type="dxa"/>
            <w:gridSpan w:val="2"/>
            <w:tcBorders>
              <w:bottom w:val="single" w:sz="8" w:space="0" w:color="000000"/>
              <w:right w:val="single" w:sz="8" w:space="0" w:color="000000"/>
            </w:tcBorders>
            <w:tcMar>
              <w:top w:w="15" w:type="dxa"/>
              <w:left w:w="15" w:type="dxa"/>
              <w:bottom w:w="15" w:type="dxa"/>
              <w:right w:w="15" w:type="dxa"/>
            </w:tcMar>
            <w:vAlign w:val="center"/>
          </w:tcPr>
          <w:p w14:paraId="30B1142F" w14:textId="42C6E56E" w:rsidR="00D652EA" w:rsidRPr="004D6D7A" w:rsidRDefault="00D652EA" w:rsidP="00D652EA">
            <w:pPr>
              <w:jc w:val="center"/>
              <w:rPr>
                <w:sz w:val="20"/>
                <w:szCs w:val="20"/>
              </w:rPr>
            </w:pPr>
            <w:r w:rsidRPr="004D6D7A">
              <w:rPr>
                <w:sz w:val="20"/>
                <w:szCs w:val="20"/>
              </w:rPr>
              <w:t>0,45%</w:t>
            </w:r>
          </w:p>
        </w:tc>
      </w:tr>
      <w:tr w:rsidR="00D652EA" w:rsidRPr="00BE7793" w14:paraId="3FC733B1"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46EC17BE" w14:textId="77777777" w:rsidR="00D652EA" w:rsidRPr="004D6D7A" w:rsidRDefault="00D652EA" w:rsidP="00D652EA">
            <w:pPr>
              <w:spacing w:after="0"/>
              <w:rPr>
                <w:sz w:val="20"/>
                <w:szCs w:val="20"/>
                <w:highlight w:val="yellow"/>
              </w:rPr>
            </w:pPr>
            <w:r w:rsidRPr="004D6D7A">
              <w:rPr>
                <w:color w:val="000000"/>
                <w:sz w:val="20"/>
                <w:szCs w:val="20"/>
              </w:rPr>
              <w:t>Główne zasady funkcjonowania wybranego rodzaju zabezpieczenia środków nabywcy</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7825B776" w14:textId="2B7FE801" w:rsidR="00D652EA" w:rsidRPr="004D6D7A" w:rsidRDefault="00D652EA" w:rsidP="00D652EA">
            <w:pPr>
              <w:jc w:val="both"/>
              <w:rPr>
                <w:sz w:val="20"/>
                <w:szCs w:val="20"/>
              </w:rPr>
            </w:pPr>
            <w:r w:rsidRPr="004D6D7A">
              <w:rPr>
                <w:sz w:val="20"/>
                <w:szCs w:val="20"/>
              </w:rPr>
              <w:t>Deweloper zawarł Umowę o prowadzenie Otwartego Mieszkaniowego Rachunku Powierniczego z Bankiem Powszechna Kasa Oszczędności Bank Polskie Spółka Akcyjna z siedzibą w Warszawie (KRS 0000026438, REGON 016298263), na podstawie której Bank zobowiązał się do otwarcia i prowadzenia rachunku powierniczego 89 1020 1068 0000 1102 0508 4035.</w:t>
            </w:r>
          </w:p>
          <w:p w14:paraId="35FE158A" w14:textId="79A044F5" w:rsidR="00D652EA" w:rsidRPr="004D6D7A" w:rsidRDefault="00D652EA" w:rsidP="00D652EA">
            <w:pPr>
              <w:jc w:val="both"/>
              <w:rPr>
                <w:sz w:val="20"/>
                <w:szCs w:val="20"/>
              </w:rPr>
            </w:pPr>
            <w:r w:rsidRPr="004D6D7A">
              <w:rPr>
                <w:sz w:val="20"/>
                <w:szCs w:val="20"/>
              </w:rPr>
              <w:t>Dla każdego Nabywcy do wyżej wskazanego  Otwartego Mieszkaniowego Rachunku Powierniczego zostanie nadany indywidualny rachunek Nabywcy.</w:t>
            </w:r>
          </w:p>
          <w:p w14:paraId="694C4E1A" w14:textId="37BBCA61" w:rsidR="00D652EA" w:rsidRPr="004D6D7A" w:rsidRDefault="00D652EA" w:rsidP="00D652EA">
            <w:pPr>
              <w:jc w:val="both"/>
              <w:rPr>
                <w:sz w:val="20"/>
                <w:szCs w:val="20"/>
              </w:rPr>
            </w:pPr>
            <w:r w:rsidRPr="004D6D7A">
              <w:rPr>
                <w:sz w:val="20"/>
                <w:szCs w:val="20"/>
              </w:rPr>
              <w:t xml:space="preserve">Indywidualny rachunek Nabywcy będzie służyć do gromadzenia środków pieniężnych wpłacanych przez Nabywcę z przeznaczeniem na nabycie Lokalu na podstawie Umowy Deweloperskiej. Bank prowadzący rachunek ewidencjonuje wpłaty i wypłaty odrębnie dla każdego Nabywcy. Bank prowadzący rachunek na żądanie Nabywcy poinformuje go o dokonanych wpłatach i wypłatach. Deweloper ma prawo dysponować środkami wypłacanymi z Otwartego Mieszkaniowego Rachunku Powierniczego, wyłącznie w celu realizacji Przedsięwzięcia Deweloperskiego, dla którego prowadzony jest rachunek powierniczy. Bank wypłaca Deweloperowi środki zgromadzone na Otwartym </w:t>
            </w:r>
            <w:r w:rsidRPr="004D6D7A">
              <w:rPr>
                <w:sz w:val="20"/>
                <w:szCs w:val="20"/>
              </w:rPr>
              <w:lastRenderedPageBreak/>
              <w:t xml:space="preserve">Mieszkaniowym Rachunku Powierniczym po stwierdzeniu zakończenia danego etapu Przedsięwzięcia Deweloperskiego, wskazanego w Prospekcie Informacyjnym. </w:t>
            </w:r>
          </w:p>
          <w:p w14:paraId="21A45DCD" w14:textId="5FD79622" w:rsidR="00D652EA" w:rsidRPr="004D6D7A" w:rsidRDefault="00D652EA" w:rsidP="00D652EA">
            <w:pPr>
              <w:jc w:val="both"/>
              <w:rPr>
                <w:sz w:val="20"/>
                <w:szCs w:val="20"/>
              </w:rPr>
            </w:pPr>
            <w:r w:rsidRPr="004D6D7A">
              <w:rPr>
                <w:sz w:val="20"/>
                <w:szCs w:val="20"/>
              </w:rPr>
              <w:t>Przedsięwzięcie Deweloperskie będzie realizowane zgodnie z harmonogramem określonym w Prospekcie Informacyjnym.</w:t>
            </w:r>
          </w:p>
          <w:p w14:paraId="72A10A44" w14:textId="1B7B7683" w:rsidR="00D652EA" w:rsidRPr="004D6D7A" w:rsidRDefault="00D652EA" w:rsidP="00D652EA">
            <w:pPr>
              <w:jc w:val="both"/>
              <w:rPr>
                <w:sz w:val="20"/>
                <w:szCs w:val="20"/>
              </w:rPr>
            </w:pPr>
            <w:r w:rsidRPr="004D6D7A">
              <w:rPr>
                <w:sz w:val="20"/>
                <w:szCs w:val="20"/>
              </w:rPr>
              <w:t xml:space="preserve">Nabywca dokonuje wpłat na indywidualny rachunek powierniczy zgodnie z postępem realizacji przedsięwzięcia deweloperskiego. Wysokość wpłat dokonywanych przez Nabywcę jest uzależniona od faktycznego stopnia realizacji poszczególnych etapów przedsięwzięcia deweloperskiego, określonych w harmonogramie. </w:t>
            </w:r>
          </w:p>
          <w:p w14:paraId="0668A5A1" w14:textId="1C39BD09" w:rsidR="00D652EA" w:rsidRPr="004D6D7A" w:rsidRDefault="00D652EA" w:rsidP="00D652EA">
            <w:pPr>
              <w:jc w:val="both"/>
              <w:rPr>
                <w:sz w:val="20"/>
                <w:szCs w:val="20"/>
              </w:rPr>
            </w:pPr>
            <w:r w:rsidRPr="004D6D7A">
              <w:rPr>
                <w:sz w:val="20"/>
                <w:szCs w:val="20"/>
              </w:rPr>
              <w:t xml:space="preserve">Nabywca dokonuje wpłat na indywidualny mieszkaniowy rachunek powierniczy po zakończeniu danego etapu przedsięwzięcia deweloperskiego, określonego w harmonogramie. Deweloper informuje nabywcę na papierze lub innym trwałym nośniku o zakończeniu danego etapu przedsięwzięcia deweloperskiego określonych w harmonogramie. </w:t>
            </w:r>
          </w:p>
          <w:p w14:paraId="5614A214" w14:textId="23F8AC21" w:rsidR="00D652EA" w:rsidRPr="004D6D7A" w:rsidRDefault="00D652EA" w:rsidP="00D652EA">
            <w:pPr>
              <w:jc w:val="both"/>
              <w:rPr>
                <w:sz w:val="20"/>
                <w:szCs w:val="20"/>
              </w:rPr>
            </w:pPr>
            <w:r w:rsidRPr="004D6D7A">
              <w:rPr>
                <w:sz w:val="20"/>
                <w:szCs w:val="20"/>
              </w:rPr>
              <w:t xml:space="preserve">Bank dokonuje kontroli zakończenia każdego z etapów przedsięwzięcia deweloperskiego określonego w harmonogramie, przed dokonaniem wypłaty z Otwartego Mieszkaniowego Rachunku Powierniczego na rzecz Dewelopera. </w:t>
            </w:r>
          </w:p>
          <w:p w14:paraId="3B03C417" w14:textId="274D7FFA" w:rsidR="00D652EA" w:rsidRPr="004D6D7A" w:rsidRDefault="00D652EA" w:rsidP="00D652EA">
            <w:pPr>
              <w:jc w:val="both"/>
              <w:rPr>
                <w:sz w:val="20"/>
                <w:szCs w:val="20"/>
              </w:rPr>
            </w:pPr>
            <w:r w:rsidRPr="004D6D7A">
              <w:rPr>
                <w:sz w:val="20"/>
                <w:szCs w:val="20"/>
              </w:rPr>
              <w:t>Koszty, opłaty i prowizje za prowadzenie Otartego Mieszkaniowego Rachunku Powierniczego obciążają Dewelopera. W związku z realizacją przez Dewelopera umowy deweloperskiej bank wypłaca deweloperowi środki pieniężne wpłacone przez Nabywcę na indywidualny rachunek powierniczy Nabywcy, nie wcześniej niż po 30 dniach od dnia zawarcia umowy deweloperskiej i po stwierdzeniu zakończeniu danego etapu przedsięwzięcia deweloperskiego, w wysokości kwoty stanowiącej iloczyn procentu kosztów danego etapu określonego w harmonogramie przedsięwzięcie deweloperskiego oraz ceny lokalu.</w:t>
            </w:r>
          </w:p>
          <w:p w14:paraId="43708390" w14:textId="39E933F9" w:rsidR="00D652EA" w:rsidRPr="004D6D7A" w:rsidRDefault="00D652EA" w:rsidP="00D652EA">
            <w:pPr>
              <w:jc w:val="both"/>
              <w:rPr>
                <w:sz w:val="20"/>
                <w:szCs w:val="20"/>
              </w:rPr>
            </w:pPr>
            <w:r w:rsidRPr="004D6D7A">
              <w:rPr>
                <w:sz w:val="20"/>
                <w:szCs w:val="20"/>
              </w:rPr>
              <w:t>W przypadku zakończenia ostatniego etapu przedsięwzięcia deweloperskiego, określonego w harmonogramie, bank wypłaci Deweloperowi pozostałe na indywidualnym rachunku Nabywcy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w:t>
            </w:r>
          </w:p>
          <w:p w14:paraId="1E7B8037" w14:textId="0F00E37F" w:rsidR="00D652EA" w:rsidRPr="004D6D7A" w:rsidRDefault="00D652EA" w:rsidP="00D652EA">
            <w:pPr>
              <w:jc w:val="both"/>
              <w:rPr>
                <w:sz w:val="20"/>
                <w:szCs w:val="20"/>
              </w:rPr>
            </w:pPr>
            <w:r w:rsidRPr="004D6D7A">
              <w:rPr>
                <w:sz w:val="20"/>
                <w:szCs w:val="20"/>
              </w:rPr>
              <w:t xml:space="preserve">Na żądanie Nabywcy Bank przekazuje informacje dotyczące wpłat i wypłat Nabywcy zgodnie z prowadzoną w Banku ewidencją wpłat i wypłat na koncie technicznym odrębnie dla każdego nabywcy oraz informacje dotyczące salda rachunku w zakresie danego przedsięwzięcia. </w:t>
            </w:r>
          </w:p>
          <w:p w14:paraId="3F0581C4" w14:textId="79CBE603" w:rsidR="00D652EA" w:rsidRPr="004D6D7A" w:rsidRDefault="00D652EA" w:rsidP="00D652EA">
            <w:pPr>
              <w:pStyle w:val="Akapitzlist"/>
              <w:numPr>
                <w:ilvl w:val="0"/>
                <w:numId w:val="34"/>
              </w:numPr>
              <w:ind w:left="411"/>
              <w:jc w:val="both"/>
              <w:rPr>
                <w:sz w:val="20"/>
                <w:szCs w:val="20"/>
              </w:rPr>
            </w:pPr>
            <w:r w:rsidRPr="004D6D7A">
              <w:rPr>
                <w:sz w:val="20"/>
                <w:szCs w:val="20"/>
              </w:rPr>
              <w:t>Zgodnie z powołaną wyżej Umową o prowadzenie Otwartego Mieszkaniowego Rachunku Powierniczego zawartą z Bankiem Powszechna Kasa Oszczędności Bank Polski Spółka Akcyjna, w przypadku odstąpienia od umowy deweloperskiej na podstawie art. 43 Ustawy Deweloperskiej przez jedną ze stron niniejszej umowy deweloperskiej Bank wypłaca Nabywcy środki przypadające Nabywcy znajdujące się na Indywidualnym Rachunku Nabywcy nadanym do Otwartego Mieszkaniowego Rachunku Powierniczego niezwłocznie pod warunkiem przedłożenia w Banku:</w:t>
            </w:r>
          </w:p>
          <w:p w14:paraId="7ACCCD12" w14:textId="3B8EBE0E" w:rsidR="00D652EA" w:rsidRPr="004D6D7A" w:rsidRDefault="00D652EA" w:rsidP="00D652EA">
            <w:pPr>
              <w:numPr>
                <w:ilvl w:val="0"/>
                <w:numId w:val="30"/>
              </w:numPr>
              <w:spacing w:after="0" w:line="310" w:lineRule="atLeast"/>
              <w:ind w:left="411"/>
              <w:jc w:val="both"/>
              <w:rPr>
                <w:sz w:val="20"/>
                <w:szCs w:val="20"/>
              </w:rPr>
            </w:pPr>
            <w:r w:rsidRPr="004D6D7A">
              <w:rPr>
                <w:sz w:val="20"/>
                <w:szCs w:val="20"/>
              </w:rPr>
              <w:t xml:space="preserve">pisemnego oświadczenia o odstąpieniu od umowy z Nabywcą ze zgodą na wykreślenie z księgi wieczystej wszelkich roszczeń Nabywcy z tytułu zawartej z posiadaczem rachunku umowy z Nabywcą lub dostarczonego do Banku aktu notarialnego zawierającego zgodne oświadczenie stron na odstąpienie od umowy z Nabywcą oraz </w:t>
            </w:r>
            <w:r w:rsidRPr="004D6D7A">
              <w:rPr>
                <w:sz w:val="20"/>
                <w:szCs w:val="20"/>
              </w:rPr>
              <w:lastRenderedPageBreak/>
              <w:t>wszystkie informacje zawarte w oświadczeniu o odstąpieniu od umowy z Nabywcą, w przypadku odstąpienia od umowy przez Nabywcę - oświadczenie powinno zawierać potwierdzenie posiadacza rachunku, że zostało mu ono doręczone,</w:t>
            </w:r>
          </w:p>
          <w:p w14:paraId="0C6DEA18" w14:textId="24EC022F" w:rsidR="00D652EA" w:rsidRPr="004D6D7A" w:rsidRDefault="00D652EA" w:rsidP="00D652EA">
            <w:pPr>
              <w:numPr>
                <w:ilvl w:val="0"/>
                <w:numId w:val="30"/>
              </w:numPr>
              <w:spacing w:after="0" w:line="310" w:lineRule="atLeast"/>
              <w:ind w:left="411"/>
              <w:jc w:val="both"/>
              <w:rPr>
                <w:sz w:val="20"/>
                <w:szCs w:val="20"/>
              </w:rPr>
            </w:pPr>
            <w:r w:rsidRPr="004D6D7A">
              <w:rPr>
                <w:sz w:val="20"/>
                <w:szCs w:val="20"/>
              </w:rPr>
              <w:t>pisemnego oświadczenia Nabywcy w sprawie postępowania po odstąpieniu od umowy z Nabywcą albo rozwiązaniu umowy z Nabywcą, którego wzór stanowi załącznik do umowy o</w:t>
            </w:r>
            <w:r w:rsidRPr="004D6D7A">
              <w:rPr>
                <w:bCs/>
                <w:sz w:val="20"/>
                <w:szCs w:val="20"/>
              </w:rPr>
              <w:t xml:space="preserve"> prowadzenie </w:t>
            </w:r>
            <w:r w:rsidRPr="004D6D7A">
              <w:rPr>
                <w:sz w:val="20"/>
                <w:szCs w:val="20"/>
              </w:rPr>
              <w:t>Otwartego Mieszkaniowego Rachunku Powierniczego.</w:t>
            </w:r>
          </w:p>
          <w:p w14:paraId="6610014C" w14:textId="15C24FD6" w:rsidR="00D652EA" w:rsidRPr="004D6D7A" w:rsidRDefault="00D652EA" w:rsidP="00D652EA">
            <w:pPr>
              <w:numPr>
                <w:ilvl w:val="0"/>
                <w:numId w:val="36"/>
              </w:numPr>
              <w:spacing w:after="0" w:line="310" w:lineRule="atLeast"/>
              <w:ind w:left="411"/>
              <w:jc w:val="both"/>
              <w:rPr>
                <w:sz w:val="20"/>
                <w:szCs w:val="20"/>
              </w:rPr>
            </w:pPr>
            <w:r w:rsidRPr="004D6D7A">
              <w:rPr>
                <w:sz w:val="20"/>
                <w:szCs w:val="20"/>
              </w:rPr>
              <w:t xml:space="preserve">W przypadku rozwiązania umowy deweloperskiej z powodu innego niż odstąpienie na podstawie art. 43 Ustawy Deweloperskiej, warunkiem wypłaty środków pieniężnych z rachunku jest przedłożenie w Banku:  </w:t>
            </w:r>
          </w:p>
          <w:p w14:paraId="0F0EAFBB" w14:textId="5A7D8328" w:rsidR="00D652EA" w:rsidRPr="004D6D7A" w:rsidRDefault="00D652EA" w:rsidP="00D652EA">
            <w:pPr>
              <w:numPr>
                <w:ilvl w:val="0"/>
                <w:numId w:val="33"/>
              </w:numPr>
              <w:spacing w:after="0" w:line="310" w:lineRule="atLeast"/>
              <w:ind w:left="411" w:hanging="411"/>
              <w:jc w:val="both"/>
              <w:rPr>
                <w:sz w:val="20"/>
                <w:szCs w:val="20"/>
              </w:rPr>
            </w:pPr>
            <w:r w:rsidRPr="004D6D7A">
              <w:rPr>
                <w:sz w:val="20"/>
                <w:szCs w:val="20"/>
              </w:rPr>
              <w:t>Złożenia w formie aktu notarialnego oświadczenia stron umowy z Nabywcą o rozwiązaniu tej umowy,</w:t>
            </w:r>
          </w:p>
          <w:p w14:paraId="318846A1" w14:textId="77777777" w:rsidR="00D652EA" w:rsidRPr="004D6D7A" w:rsidRDefault="00D652EA" w:rsidP="00D652EA">
            <w:pPr>
              <w:numPr>
                <w:ilvl w:val="0"/>
                <w:numId w:val="33"/>
              </w:numPr>
              <w:spacing w:after="0" w:line="310" w:lineRule="atLeast"/>
              <w:ind w:left="411" w:hanging="309"/>
              <w:jc w:val="both"/>
              <w:rPr>
                <w:sz w:val="20"/>
                <w:szCs w:val="20"/>
              </w:rPr>
            </w:pPr>
            <w:r w:rsidRPr="004D6D7A">
              <w:rPr>
                <w:sz w:val="20"/>
                <w:szCs w:val="20"/>
              </w:rPr>
              <w:t>Zgodnych oświadczeń stron umowy z Nabywcą o sposobie podziału środków pieniężnych wpłaconych przez Nabywcę na przypisany do niego indywidualnego rachunku powierniczego</w:t>
            </w:r>
          </w:p>
          <w:p w14:paraId="558B6DF6" w14:textId="0EF61720" w:rsidR="00D652EA" w:rsidRPr="004D6D7A" w:rsidRDefault="00D652EA" w:rsidP="00D652EA">
            <w:pPr>
              <w:numPr>
                <w:ilvl w:val="0"/>
                <w:numId w:val="33"/>
              </w:numPr>
              <w:spacing w:after="0" w:line="310" w:lineRule="atLeast"/>
              <w:ind w:left="411"/>
              <w:jc w:val="both"/>
              <w:rPr>
                <w:sz w:val="20"/>
                <w:szCs w:val="20"/>
              </w:rPr>
            </w:pPr>
            <w:r w:rsidRPr="004D6D7A">
              <w:rPr>
                <w:sz w:val="20"/>
                <w:szCs w:val="20"/>
              </w:rPr>
              <w:t>pisemnego oświadczenia Nabywcy w sprawie postępowania po odstąpieniu od umowy z Nabywcą albo rozwiązaniu umowy z Nabywcą, którego wzór stanowi załącznik do umowy o</w:t>
            </w:r>
            <w:r w:rsidRPr="004D6D7A">
              <w:rPr>
                <w:bCs/>
                <w:sz w:val="20"/>
                <w:szCs w:val="20"/>
              </w:rPr>
              <w:t xml:space="preserve"> prowadzenie </w:t>
            </w:r>
            <w:r w:rsidRPr="004D6D7A">
              <w:rPr>
                <w:sz w:val="20"/>
                <w:szCs w:val="20"/>
              </w:rPr>
              <w:t>Otwartego Mieszkaniowego Rachunku Powierniczego;</w:t>
            </w:r>
            <w:r w:rsidRPr="004D6D7A">
              <w:rPr>
                <w:bCs/>
                <w:sz w:val="20"/>
                <w:szCs w:val="20"/>
              </w:rPr>
              <w:t xml:space="preserve"> </w:t>
            </w:r>
          </w:p>
          <w:p w14:paraId="6392116E" w14:textId="11E1F0A8" w:rsidR="00D652EA" w:rsidRPr="004D6D7A" w:rsidRDefault="00D652EA" w:rsidP="00D652EA">
            <w:pPr>
              <w:numPr>
                <w:ilvl w:val="0"/>
                <w:numId w:val="33"/>
              </w:numPr>
              <w:spacing w:after="0" w:line="310" w:lineRule="atLeast"/>
              <w:ind w:left="411"/>
              <w:jc w:val="both"/>
              <w:rPr>
                <w:sz w:val="20"/>
                <w:szCs w:val="20"/>
              </w:rPr>
            </w:pPr>
            <w:r w:rsidRPr="004D6D7A">
              <w:rPr>
                <w:bCs/>
                <w:sz w:val="20"/>
                <w:szCs w:val="20"/>
              </w:rPr>
              <w:t>dopuszcza się złożenie aktu notarialnego zawierającego zgodne oświadczenia woli stron o rozwiązani umowy z Nabywcą o sposobie podziału środków pieniężnych zgromadzonych przez Nabywcę na rachunku oraz wszelkie wymagane dane występujące w oświadczeniu o którym mowa w pkt. 3 powyżej.</w:t>
            </w:r>
          </w:p>
          <w:p w14:paraId="046E2930" w14:textId="77777777" w:rsidR="00D652EA" w:rsidRPr="004D6D7A" w:rsidRDefault="00D652EA" w:rsidP="00D652EA">
            <w:pPr>
              <w:spacing w:after="0" w:line="310" w:lineRule="atLeast"/>
              <w:jc w:val="both"/>
              <w:rPr>
                <w:sz w:val="20"/>
                <w:szCs w:val="20"/>
              </w:rPr>
            </w:pPr>
          </w:p>
          <w:p w14:paraId="75B39860" w14:textId="31F44E57" w:rsidR="00D652EA" w:rsidRPr="004D6D7A" w:rsidRDefault="00D652EA" w:rsidP="00D652EA">
            <w:pPr>
              <w:spacing w:after="0" w:line="310" w:lineRule="atLeast"/>
              <w:jc w:val="both"/>
              <w:rPr>
                <w:sz w:val="20"/>
                <w:szCs w:val="20"/>
              </w:rPr>
            </w:pPr>
            <w:r w:rsidRPr="004D6D7A">
              <w:rPr>
                <w:sz w:val="20"/>
                <w:szCs w:val="20"/>
              </w:rPr>
              <w:t xml:space="preserve">Oświadczenia o których mowa powyżej wymagają podpisów notarialnie poświadczonych, przy czym dopuszczalne jest złożenie przez Nabywcę podpisu o którym mowa w usta. 1 pkt 2 i ust. 2 pkt. 3 w obecności pracownika Banku. </w:t>
            </w:r>
          </w:p>
          <w:p w14:paraId="6275CC1E" w14:textId="77777777" w:rsidR="00D652EA" w:rsidRPr="004D6D7A" w:rsidRDefault="00D652EA" w:rsidP="00D652EA">
            <w:pPr>
              <w:spacing w:after="0" w:line="310" w:lineRule="atLeast"/>
              <w:jc w:val="both"/>
              <w:rPr>
                <w:sz w:val="20"/>
                <w:szCs w:val="20"/>
              </w:rPr>
            </w:pPr>
          </w:p>
          <w:p w14:paraId="05E99EE7" w14:textId="4373D8D1" w:rsidR="00D652EA" w:rsidRPr="004D6D7A" w:rsidRDefault="00D652EA" w:rsidP="00D652EA">
            <w:pPr>
              <w:pStyle w:val="Akapitzlist"/>
              <w:numPr>
                <w:ilvl w:val="0"/>
                <w:numId w:val="36"/>
              </w:numPr>
              <w:spacing w:after="0" w:line="310" w:lineRule="atLeast"/>
              <w:jc w:val="both"/>
              <w:rPr>
                <w:sz w:val="20"/>
                <w:szCs w:val="20"/>
              </w:rPr>
            </w:pPr>
            <w:r w:rsidRPr="004D6D7A">
              <w:rPr>
                <w:sz w:val="20"/>
                <w:szCs w:val="20"/>
              </w:rPr>
              <w:t xml:space="preserve">W przypadku odstąpienia od umowy lub rozwiązania umowy deweloperskiej z powodu innego niż odstąpienie na podstawie art. 43 Ustawy Deweloperskiej Deweloper zwróci Nabywcy kwotę dotychczas wypłaconą Deweloperowi przez Bank z Indywidualnego Rachunku Nabywcy, na rachunek wskazany przez Nabywcę, niezwłocznie po otrzymaniu oświadczenia Nabywcy, złożonego w formie pisemnej z podpisami notarialnie poświadczonymi, o zgodzie na wykreślenie z księgi wieczystej roszczenia o przeniesienie własności nieruchomości (w przypadku, gdy został złożony wniosek o wpis takiego roszczenia) lub zawarcia żądania o wykreślenie roszczenia wpisanego na rzecz Nabywcy z księgi wieczystej w akcie notarialnym obejmującym rozwiązanie umowy deweloperskiej, z tym zastrzeżeniem, że jeżeli została zawarta umowa cesji wierzytelności w związku z udzieleniem Nabywcy przez bank kredytu na nabycie budynku mieszkalnego, zwrot środków na rzecz Nabywcy nastąpi zgodnie z postanowieniami tej umowy cesji. </w:t>
            </w:r>
          </w:p>
          <w:p w14:paraId="6A57A7A4" w14:textId="14EE9913" w:rsidR="00D652EA" w:rsidRPr="004D6D7A" w:rsidRDefault="00D652EA" w:rsidP="00D652EA">
            <w:pPr>
              <w:spacing w:after="0" w:line="310" w:lineRule="atLeast"/>
              <w:ind w:left="51"/>
              <w:jc w:val="both"/>
              <w:rPr>
                <w:sz w:val="20"/>
                <w:szCs w:val="20"/>
              </w:rPr>
            </w:pPr>
            <w:r w:rsidRPr="004D6D7A">
              <w:rPr>
                <w:sz w:val="20"/>
                <w:szCs w:val="20"/>
              </w:rPr>
              <w:t xml:space="preserve">Kwoty wpłacone przez Nabywcę w wykonaniu niniejszej Umowy Deweloperskiej podlegają zwrotowi na jego rzecz w wysokości nominalnej dokonanej wpłaty, po potrąceniu ewentualnej kary umownej należnej Deweloperowi, w terminie 30 dni od dnia odstąpienia od niniejszej Umowy Deweloperskiej, z tym że Deweloper może wstrzymać się ze zwrotem kwot należnych Nabywcy do czasu doręczenia Deweloperowi przez Nabywcę </w:t>
            </w:r>
            <w:r w:rsidRPr="004D6D7A">
              <w:rPr>
                <w:sz w:val="20"/>
                <w:szCs w:val="20"/>
              </w:rPr>
              <w:lastRenderedPageBreak/>
              <w:t>oświadczenia, o którym mowa w ust. 3 powyżej. W przypadku, gdy Lokal został już wydany Nabywcy, Deweloper może powstrzymać się ze zwrotem należnych Nabywcy kwot do dnia zwrotu przez Nabywcę Lokalu Deweloperowi.</w:t>
            </w:r>
          </w:p>
        </w:tc>
      </w:tr>
      <w:tr w:rsidR="00D652EA" w:rsidRPr="00BE7793" w14:paraId="74D7577E"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5816E378" w14:textId="77777777" w:rsidR="00D652EA" w:rsidRPr="004D6D7A" w:rsidRDefault="00D652EA" w:rsidP="00D652EA">
            <w:pPr>
              <w:spacing w:after="0"/>
              <w:rPr>
                <w:sz w:val="20"/>
                <w:szCs w:val="20"/>
              </w:rPr>
            </w:pPr>
            <w:r w:rsidRPr="004D6D7A">
              <w:rPr>
                <w:color w:val="000000"/>
                <w:sz w:val="20"/>
                <w:szCs w:val="20"/>
              </w:rPr>
              <w:lastRenderedPageBreak/>
              <w:t>Nazwa instytucji zapewniającej bezpieczeństwo środków nabywcy</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01214817" w14:textId="03C32ADD" w:rsidR="00D652EA" w:rsidRPr="004D6D7A" w:rsidRDefault="00D652EA" w:rsidP="00D652EA">
            <w:pPr>
              <w:rPr>
                <w:sz w:val="20"/>
                <w:szCs w:val="20"/>
              </w:rPr>
            </w:pPr>
            <w:r w:rsidRPr="004D6D7A">
              <w:rPr>
                <w:sz w:val="20"/>
                <w:szCs w:val="20"/>
              </w:rPr>
              <w:t xml:space="preserve">Powszechna Kasa Oszczędności Bank Polski Spółka Akcyjna </w:t>
            </w:r>
            <w:r w:rsidRPr="004D6D7A">
              <w:rPr>
                <w:sz w:val="20"/>
                <w:szCs w:val="20"/>
              </w:rPr>
              <w:br/>
              <w:t>ul. Puławska 15 02-515 Warszawa</w:t>
            </w:r>
          </w:p>
        </w:tc>
      </w:tr>
      <w:tr w:rsidR="00D652EA" w:rsidRPr="00BE7793" w14:paraId="20F11EE0"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0444855F" w14:textId="03E563D7" w:rsidR="00D652EA" w:rsidRPr="004D6D7A" w:rsidRDefault="00D652EA" w:rsidP="00D652EA">
            <w:pPr>
              <w:spacing w:after="0"/>
              <w:rPr>
                <w:color w:val="000000"/>
                <w:sz w:val="20"/>
                <w:szCs w:val="20"/>
              </w:rPr>
            </w:pPr>
            <w:r w:rsidRPr="004D6D7A">
              <w:rPr>
                <w:color w:val="000000"/>
                <w:sz w:val="20"/>
                <w:szCs w:val="20"/>
              </w:rPr>
              <w:t>Harmonogram przedsięwzięcia deweloperskiego lub zadania inwestycyjnego</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626EBEDF" w14:textId="77777777" w:rsidR="00D652EA" w:rsidRDefault="00D652EA" w:rsidP="00D652EA">
            <w:pPr>
              <w:rPr>
                <w:sz w:val="20"/>
                <w:szCs w:val="20"/>
              </w:rPr>
            </w:pPr>
          </w:p>
          <w:tbl>
            <w:tblPr>
              <w:tblStyle w:val="Tabela-Siatka"/>
              <w:tblW w:w="0" w:type="auto"/>
              <w:tblLook w:val="04A0" w:firstRow="1" w:lastRow="0" w:firstColumn="1" w:lastColumn="0" w:noHBand="0" w:noVBand="1"/>
            </w:tblPr>
            <w:tblGrid>
              <w:gridCol w:w="543"/>
              <w:gridCol w:w="3260"/>
              <w:gridCol w:w="1695"/>
              <w:gridCol w:w="1833"/>
            </w:tblGrid>
            <w:tr w:rsidR="00D652EA" w14:paraId="6097E182" w14:textId="77777777" w:rsidTr="004D6D7A">
              <w:tc>
                <w:tcPr>
                  <w:tcW w:w="543" w:type="dxa"/>
                </w:tcPr>
                <w:p w14:paraId="32A2C707" w14:textId="77777777" w:rsidR="00D652EA" w:rsidRDefault="00D652EA" w:rsidP="00D652EA">
                  <w:pPr>
                    <w:rPr>
                      <w:sz w:val="18"/>
                      <w:szCs w:val="18"/>
                    </w:rPr>
                  </w:pPr>
                </w:p>
                <w:p w14:paraId="6578A01E" w14:textId="77777777" w:rsidR="00D652EA" w:rsidRDefault="00D652EA" w:rsidP="00D652EA">
                  <w:pPr>
                    <w:rPr>
                      <w:sz w:val="18"/>
                      <w:szCs w:val="18"/>
                    </w:rPr>
                  </w:pPr>
                </w:p>
                <w:p w14:paraId="22078689" w14:textId="77777777" w:rsidR="00D652EA" w:rsidRDefault="00D652EA" w:rsidP="00D652EA">
                  <w:pPr>
                    <w:rPr>
                      <w:sz w:val="18"/>
                      <w:szCs w:val="18"/>
                    </w:rPr>
                  </w:pPr>
                </w:p>
                <w:p w14:paraId="267B93A5" w14:textId="77777777" w:rsidR="00D652EA" w:rsidRDefault="00D652EA" w:rsidP="00D652EA">
                  <w:pPr>
                    <w:rPr>
                      <w:sz w:val="18"/>
                      <w:szCs w:val="18"/>
                    </w:rPr>
                  </w:pPr>
                </w:p>
                <w:p w14:paraId="2800410F" w14:textId="77777777" w:rsidR="00D652EA" w:rsidRDefault="00D652EA" w:rsidP="00D652EA">
                  <w:pPr>
                    <w:rPr>
                      <w:sz w:val="18"/>
                      <w:szCs w:val="18"/>
                    </w:rPr>
                  </w:pPr>
                </w:p>
                <w:p w14:paraId="2B9C5A4F" w14:textId="6DDBE580" w:rsidR="00D652EA" w:rsidRDefault="00D652EA" w:rsidP="00D652EA">
                  <w:pPr>
                    <w:rPr>
                      <w:sz w:val="20"/>
                      <w:szCs w:val="20"/>
                    </w:rPr>
                  </w:pPr>
                  <w:r w:rsidRPr="004D6D7A">
                    <w:rPr>
                      <w:sz w:val="18"/>
                      <w:szCs w:val="18"/>
                    </w:rPr>
                    <w:t>LP</w:t>
                  </w:r>
                </w:p>
              </w:tc>
              <w:tc>
                <w:tcPr>
                  <w:tcW w:w="3260" w:type="dxa"/>
                </w:tcPr>
                <w:p w14:paraId="419A27AA" w14:textId="77777777" w:rsidR="00D652EA" w:rsidRDefault="00D652EA" w:rsidP="00D652EA">
                  <w:pPr>
                    <w:rPr>
                      <w:sz w:val="18"/>
                      <w:szCs w:val="18"/>
                    </w:rPr>
                  </w:pPr>
                </w:p>
                <w:p w14:paraId="0F446724" w14:textId="77777777" w:rsidR="00D652EA" w:rsidRDefault="00D652EA" w:rsidP="00D652EA">
                  <w:pPr>
                    <w:rPr>
                      <w:sz w:val="18"/>
                      <w:szCs w:val="18"/>
                    </w:rPr>
                  </w:pPr>
                </w:p>
                <w:p w14:paraId="28414279" w14:textId="51F06AF7" w:rsidR="00D652EA" w:rsidRDefault="00D652EA" w:rsidP="00D652EA">
                  <w:pPr>
                    <w:rPr>
                      <w:sz w:val="20"/>
                      <w:szCs w:val="20"/>
                    </w:rPr>
                  </w:pPr>
                  <w:r w:rsidRPr="004D6D7A">
                    <w:rPr>
                      <w:sz w:val="18"/>
                      <w:szCs w:val="18"/>
                    </w:rPr>
                    <w:t>Etapy realizacji przedsięwzięcia inwestycyjnego</w:t>
                  </w:r>
                </w:p>
              </w:tc>
              <w:tc>
                <w:tcPr>
                  <w:tcW w:w="1695" w:type="dxa"/>
                </w:tcPr>
                <w:p w14:paraId="6A9FD127" w14:textId="7CF13752" w:rsidR="00D652EA" w:rsidRDefault="00D652EA" w:rsidP="00D652EA">
                  <w:pPr>
                    <w:rPr>
                      <w:sz w:val="20"/>
                      <w:szCs w:val="20"/>
                    </w:rPr>
                  </w:pPr>
                  <w:r w:rsidRPr="004D6D7A">
                    <w:rPr>
                      <w:sz w:val="20"/>
                      <w:szCs w:val="20"/>
                    </w:rPr>
                    <w:t>Procentowy podział kosztów poszczególnych etapów w całkowitym przedsięwzięciu inwestycyjnym</w:t>
                  </w:r>
                </w:p>
              </w:tc>
              <w:tc>
                <w:tcPr>
                  <w:tcW w:w="1833" w:type="dxa"/>
                </w:tcPr>
                <w:p w14:paraId="1027C406" w14:textId="52A7D549" w:rsidR="00D652EA" w:rsidRDefault="00D652EA" w:rsidP="00D652EA">
                  <w:pPr>
                    <w:rPr>
                      <w:sz w:val="20"/>
                      <w:szCs w:val="20"/>
                    </w:rPr>
                  </w:pPr>
                  <w:r w:rsidRPr="004D6D7A">
                    <w:rPr>
                      <w:sz w:val="20"/>
                      <w:szCs w:val="20"/>
                    </w:rPr>
                    <w:t>Planowany - termin zakończenia etapu</w:t>
                  </w:r>
                </w:p>
              </w:tc>
            </w:tr>
            <w:tr w:rsidR="00D652EA" w14:paraId="26F7FBBF" w14:textId="77777777" w:rsidTr="004D6D7A">
              <w:tc>
                <w:tcPr>
                  <w:tcW w:w="543" w:type="dxa"/>
                </w:tcPr>
                <w:p w14:paraId="3DB3356F" w14:textId="779ECDEE" w:rsidR="00D652EA" w:rsidRDefault="00D652EA" w:rsidP="00D652EA">
                  <w:pPr>
                    <w:rPr>
                      <w:sz w:val="20"/>
                      <w:szCs w:val="20"/>
                    </w:rPr>
                  </w:pPr>
                  <w:r>
                    <w:rPr>
                      <w:sz w:val="20"/>
                      <w:szCs w:val="20"/>
                    </w:rPr>
                    <w:t>1</w:t>
                  </w:r>
                </w:p>
              </w:tc>
              <w:tc>
                <w:tcPr>
                  <w:tcW w:w="3260" w:type="dxa"/>
                </w:tcPr>
                <w:p w14:paraId="1F15AACF" w14:textId="0F630D52" w:rsidR="00D652EA" w:rsidRDefault="00D652EA" w:rsidP="00D652EA">
                  <w:pPr>
                    <w:rPr>
                      <w:sz w:val="20"/>
                      <w:szCs w:val="20"/>
                    </w:rPr>
                  </w:pPr>
                  <w:r w:rsidRPr="004D6D7A">
                    <w:rPr>
                      <w:sz w:val="20"/>
                      <w:szCs w:val="20"/>
                    </w:rPr>
                    <w:t>Zakup gruntu pod inwestycję, Projekt budowlany, Uzyskanie pozwolenia na budowę, Roboty ziemne- wykopy + prace rozbiórkowe, Płyta fundamentowa</w:t>
                  </w:r>
                </w:p>
              </w:tc>
              <w:tc>
                <w:tcPr>
                  <w:tcW w:w="1695" w:type="dxa"/>
                </w:tcPr>
                <w:p w14:paraId="1D46859E" w14:textId="4E479D1D" w:rsidR="00D652EA" w:rsidRDefault="00D652EA" w:rsidP="00D652EA">
                  <w:pPr>
                    <w:rPr>
                      <w:sz w:val="20"/>
                      <w:szCs w:val="20"/>
                    </w:rPr>
                  </w:pPr>
                  <w:r w:rsidRPr="004D6D7A">
                    <w:rPr>
                      <w:sz w:val="20"/>
                      <w:szCs w:val="20"/>
                    </w:rPr>
                    <w:t>22,93%</w:t>
                  </w:r>
                </w:p>
              </w:tc>
              <w:tc>
                <w:tcPr>
                  <w:tcW w:w="1833" w:type="dxa"/>
                </w:tcPr>
                <w:p w14:paraId="3580BDA4" w14:textId="171C0692" w:rsidR="00D652EA" w:rsidRDefault="00D652EA" w:rsidP="00D652EA">
                  <w:pPr>
                    <w:rPr>
                      <w:sz w:val="20"/>
                      <w:szCs w:val="20"/>
                    </w:rPr>
                  </w:pPr>
                  <w:r w:rsidRPr="004D6D7A">
                    <w:rPr>
                      <w:sz w:val="20"/>
                      <w:szCs w:val="20"/>
                    </w:rPr>
                    <w:t>30.04.2024</w:t>
                  </w:r>
                </w:p>
              </w:tc>
            </w:tr>
            <w:tr w:rsidR="00D652EA" w14:paraId="5B043F5E" w14:textId="77777777" w:rsidTr="00064906">
              <w:tc>
                <w:tcPr>
                  <w:tcW w:w="543" w:type="dxa"/>
                </w:tcPr>
                <w:p w14:paraId="12818696" w14:textId="224F0B3D" w:rsidR="00D652EA" w:rsidRDefault="00D652EA" w:rsidP="00D652EA">
                  <w:pPr>
                    <w:rPr>
                      <w:sz w:val="20"/>
                      <w:szCs w:val="20"/>
                    </w:rPr>
                  </w:pPr>
                  <w:r>
                    <w:rPr>
                      <w:sz w:val="20"/>
                      <w:szCs w:val="20"/>
                    </w:rPr>
                    <w:t>2</w:t>
                  </w:r>
                </w:p>
              </w:tc>
              <w:tc>
                <w:tcPr>
                  <w:tcW w:w="3260" w:type="dxa"/>
                  <w:vAlign w:val="center"/>
                </w:tcPr>
                <w:p w14:paraId="0E14E4D0" w14:textId="373ABDFC" w:rsidR="00D652EA" w:rsidRDefault="00D652EA" w:rsidP="00D652EA">
                  <w:pPr>
                    <w:rPr>
                      <w:sz w:val="20"/>
                      <w:szCs w:val="20"/>
                    </w:rPr>
                  </w:pPr>
                  <w:r w:rsidRPr="004D6D7A">
                    <w:rPr>
                      <w:sz w:val="20"/>
                      <w:szCs w:val="20"/>
                    </w:rPr>
                    <w:t xml:space="preserve"> Ściany konstrukcyjne hali garażowej, Strop nad halą garażową, Ściany konstrukcyjne kondygnacji I, kondygnacji II,  Strop nad kondygnacją I, strop nad kondygnacją II</w:t>
                  </w:r>
                </w:p>
              </w:tc>
              <w:tc>
                <w:tcPr>
                  <w:tcW w:w="1695" w:type="dxa"/>
                </w:tcPr>
                <w:p w14:paraId="529ABB81" w14:textId="1F583088" w:rsidR="00D652EA" w:rsidRDefault="00D652EA" w:rsidP="00D652EA">
                  <w:pPr>
                    <w:rPr>
                      <w:sz w:val="20"/>
                      <w:szCs w:val="20"/>
                    </w:rPr>
                  </w:pPr>
                  <w:r w:rsidRPr="004D6D7A">
                    <w:rPr>
                      <w:sz w:val="20"/>
                      <w:szCs w:val="20"/>
                    </w:rPr>
                    <w:t>18,83%</w:t>
                  </w:r>
                </w:p>
              </w:tc>
              <w:tc>
                <w:tcPr>
                  <w:tcW w:w="1833" w:type="dxa"/>
                </w:tcPr>
                <w:p w14:paraId="151829B2" w14:textId="4EEC40EC" w:rsidR="00D652EA" w:rsidRDefault="00D652EA" w:rsidP="00D652EA">
                  <w:pPr>
                    <w:rPr>
                      <w:sz w:val="20"/>
                      <w:szCs w:val="20"/>
                    </w:rPr>
                  </w:pPr>
                  <w:r w:rsidRPr="004D6D7A">
                    <w:rPr>
                      <w:sz w:val="20"/>
                      <w:szCs w:val="20"/>
                    </w:rPr>
                    <w:t>31.07.2024</w:t>
                  </w:r>
                </w:p>
              </w:tc>
            </w:tr>
            <w:tr w:rsidR="00D652EA" w14:paraId="1ECC478A" w14:textId="77777777" w:rsidTr="004D6D7A">
              <w:tc>
                <w:tcPr>
                  <w:tcW w:w="543" w:type="dxa"/>
                </w:tcPr>
                <w:p w14:paraId="4CFFF1B5" w14:textId="4D6EECAA" w:rsidR="00D652EA" w:rsidRDefault="00D652EA" w:rsidP="00D652EA">
                  <w:pPr>
                    <w:rPr>
                      <w:sz w:val="20"/>
                      <w:szCs w:val="20"/>
                    </w:rPr>
                  </w:pPr>
                  <w:r>
                    <w:rPr>
                      <w:sz w:val="20"/>
                      <w:szCs w:val="20"/>
                    </w:rPr>
                    <w:t>3</w:t>
                  </w:r>
                </w:p>
              </w:tc>
              <w:tc>
                <w:tcPr>
                  <w:tcW w:w="3260" w:type="dxa"/>
                </w:tcPr>
                <w:p w14:paraId="11E89090" w14:textId="0606E037" w:rsidR="00D652EA" w:rsidRDefault="00D652EA" w:rsidP="00D652EA">
                  <w:pPr>
                    <w:rPr>
                      <w:sz w:val="20"/>
                      <w:szCs w:val="20"/>
                    </w:rPr>
                  </w:pPr>
                  <w:r w:rsidRPr="004D6D7A">
                    <w:rPr>
                      <w:sz w:val="20"/>
                      <w:szCs w:val="20"/>
                    </w:rPr>
                    <w:t>Ściany konstrukcyjne kondygnacji III, kondygnacji IV, kondygnacji V,   Strop nad kondygnacją III, Strop nad kondygnacją IV, Strop na kondygnacją V</w:t>
                  </w:r>
                </w:p>
              </w:tc>
              <w:tc>
                <w:tcPr>
                  <w:tcW w:w="1695" w:type="dxa"/>
                </w:tcPr>
                <w:p w14:paraId="21FE95B1" w14:textId="20411F4B" w:rsidR="00D652EA" w:rsidRDefault="00D652EA" w:rsidP="00D652EA">
                  <w:pPr>
                    <w:rPr>
                      <w:sz w:val="20"/>
                      <w:szCs w:val="20"/>
                    </w:rPr>
                  </w:pPr>
                  <w:r w:rsidRPr="004D6D7A">
                    <w:rPr>
                      <w:sz w:val="20"/>
                      <w:szCs w:val="20"/>
                    </w:rPr>
                    <w:t>14,89%</w:t>
                  </w:r>
                </w:p>
              </w:tc>
              <w:tc>
                <w:tcPr>
                  <w:tcW w:w="1833" w:type="dxa"/>
                </w:tcPr>
                <w:p w14:paraId="3EC175AD" w14:textId="737091CC" w:rsidR="00D652EA" w:rsidRDefault="00D652EA" w:rsidP="00D652EA">
                  <w:pPr>
                    <w:rPr>
                      <w:sz w:val="20"/>
                      <w:szCs w:val="20"/>
                    </w:rPr>
                  </w:pPr>
                  <w:r w:rsidRPr="004D6D7A">
                    <w:rPr>
                      <w:sz w:val="20"/>
                      <w:szCs w:val="20"/>
                    </w:rPr>
                    <w:t>31.10.2024</w:t>
                  </w:r>
                </w:p>
              </w:tc>
            </w:tr>
            <w:tr w:rsidR="00D652EA" w14:paraId="3DF30D21" w14:textId="77777777" w:rsidTr="004D6D7A">
              <w:tc>
                <w:tcPr>
                  <w:tcW w:w="543" w:type="dxa"/>
                </w:tcPr>
                <w:p w14:paraId="1DE13CDF" w14:textId="337A16DE" w:rsidR="00D652EA" w:rsidRDefault="00D652EA" w:rsidP="00D652EA">
                  <w:pPr>
                    <w:rPr>
                      <w:sz w:val="20"/>
                      <w:szCs w:val="20"/>
                    </w:rPr>
                  </w:pPr>
                  <w:r>
                    <w:rPr>
                      <w:sz w:val="20"/>
                      <w:szCs w:val="20"/>
                    </w:rPr>
                    <w:t>4</w:t>
                  </w:r>
                </w:p>
              </w:tc>
              <w:tc>
                <w:tcPr>
                  <w:tcW w:w="3260" w:type="dxa"/>
                </w:tcPr>
                <w:p w14:paraId="64E8F247" w14:textId="492CF7A9" w:rsidR="00D652EA" w:rsidRDefault="00D652EA" w:rsidP="00D652EA">
                  <w:pPr>
                    <w:rPr>
                      <w:sz w:val="20"/>
                      <w:szCs w:val="20"/>
                    </w:rPr>
                  </w:pPr>
                  <w:r w:rsidRPr="004D6D7A">
                    <w:rPr>
                      <w:sz w:val="20"/>
                      <w:szCs w:val="20"/>
                    </w:rPr>
                    <w:t>Ścianki działowe, Stolarka okienna w mieszkaniach (bez montażu witryn zewnętrznych klatek schodowych) , Hydroizolacja ścian hali garażowej, Instalacja elektryczna w mieszkaniach (bez montażu osprzętu)</w:t>
                  </w:r>
                </w:p>
              </w:tc>
              <w:tc>
                <w:tcPr>
                  <w:tcW w:w="1695" w:type="dxa"/>
                </w:tcPr>
                <w:p w14:paraId="57A381A2" w14:textId="5F60D526" w:rsidR="00D652EA" w:rsidRDefault="00D652EA" w:rsidP="00D652EA">
                  <w:pPr>
                    <w:rPr>
                      <w:sz w:val="20"/>
                      <w:szCs w:val="20"/>
                    </w:rPr>
                  </w:pPr>
                  <w:r w:rsidRPr="004D6D7A">
                    <w:rPr>
                      <w:sz w:val="20"/>
                      <w:szCs w:val="20"/>
                    </w:rPr>
                    <w:t>10,72%</w:t>
                  </w:r>
                </w:p>
              </w:tc>
              <w:tc>
                <w:tcPr>
                  <w:tcW w:w="1833" w:type="dxa"/>
                </w:tcPr>
                <w:p w14:paraId="36B0F6A6" w14:textId="456DB82B" w:rsidR="00D652EA" w:rsidRDefault="00D652EA" w:rsidP="00D652EA">
                  <w:pPr>
                    <w:rPr>
                      <w:sz w:val="20"/>
                      <w:szCs w:val="20"/>
                    </w:rPr>
                  </w:pPr>
                  <w:r w:rsidRPr="004D6D7A">
                    <w:rPr>
                      <w:sz w:val="20"/>
                      <w:szCs w:val="20"/>
                    </w:rPr>
                    <w:t>28.02.2025</w:t>
                  </w:r>
                </w:p>
              </w:tc>
            </w:tr>
            <w:tr w:rsidR="00D652EA" w14:paraId="78921002" w14:textId="77777777" w:rsidTr="004D6D7A">
              <w:tc>
                <w:tcPr>
                  <w:tcW w:w="543" w:type="dxa"/>
                </w:tcPr>
                <w:p w14:paraId="304B8820" w14:textId="6DCC05B5" w:rsidR="00D652EA" w:rsidRDefault="00D652EA" w:rsidP="00D652EA">
                  <w:pPr>
                    <w:rPr>
                      <w:sz w:val="20"/>
                      <w:szCs w:val="20"/>
                    </w:rPr>
                  </w:pPr>
                  <w:r>
                    <w:rPr>
                      <w:sz w:val="20"/>
                      <w:szCs w:val="20"/>
                    </w:rPr>
                    <w:t>5</w:t>
                  </w:r>
                </w:p>
              </w:tc>
              <w:tc>
                <w:tcPr>
                  <w:tcW w:w="3260" w:type="dxa"/>
                </w:tcPr>
                <w:p w14:paraId="5CB204FF" w14:textId="56059525" w:rsidR="00D652EA" w:rsidRDefault="00D652EA" w:rsidP="00D652EA">
                  <w:pPr>
                    <w:rPr>
                      <w:sz w:val="20"/>
                      <w:szCs w:val="20"/>
                    </w:rPr>
                  </w:pPr>
                  <w:r w:rsidRPr="004D6D7A">
                    <w:rPr>
                      <w:sz w:val="20"/>
                      <w:szCs w:val="20"/>
                    </w:rPr>
                    <w:t>Instalacja CO w mieszkaniach (bez montażu osprzętu), Termoizolacja i pokrycie dach płaski, Tynki wewnętrzne w mieszkaniach</w:t>
                  </w:r>
                </w:p>
              </w:tc>
              <w:tc>
                <w:tcPr>
                  <w:tcW w:w="1695" w:type="dxa"/>
                </w:tcPr>
                <w:p w14:paraId="34768E84" w14:textId="15782B7F" w:rsidR="00D652EA" w:rsidRDefault="00D652EA" w:rsidP="00D652EA">
                  <w:pPr>
                    <w:rPr>
                      <w:sz w:val="20"/>
                      <w:szCs w:val="20"/>
                    </w:rPr>
                  </w:pPr>
                  <w:r w:rsidRPr="004D6D7A">
                    <w:rPr>
                      <w:sz w:val="20"/>
                      <w:szCs w:val="20"/>
                    </w:rPr>
                    <w:t>10,23%</w:t>
                  </w:r>
                </w:p>
              </w:tc>
              <w:tc>
                <w:tcPr>
                  <w:tcW w:w="1833" w:type="dxa"/>
                </w:tcPr>
                <w:p w14:paraId="43463CAA" w14:textId="716E8EC8" w:rsidR="00D652EA" w:rsidRDefault="00D652EA" w:rsidP="00D652EA">
                  <w:pPr>
                    <w:rPr>
                      <w:sz w:val="20"/>
                      <w:szCs w:val="20"/>
                    </w:rPr>
                  </w:pPr>
                  <w:r w:rsidRPr="004D6D7A">
                    <w:rPr>
                      <w:sz w:val="20"/>
                      <w:szCs w:val="20"/>
                    </w:rPr>
                    <w:t>31.05.2025</w:t>
                  </w:r>
                </w:p>
              </w:tc>
            </w:tr>
            <w:tr w:rsidR="00D652EA" w14:paraId="5257D584" w14:textId="77777777" w:rsidTr="004D6D7A">
              <w:tc>
                <w:tcPr>
                  <w:tcW w:w="543" w:type="dxa"/>
                </w:tcPr>
                <w:p w14:paraId="167D1D28" w14:textId="4703E066" w:rsidR="00D652EA" w:rsidRDefault="00D652EA" w:rsidP="00D652EA">
                  <w:pPr>
                    <w:rPr>
                      <w:sz w:val="20"/>
                      <w:szCs w:val="20"/>
                    </w:rPr>
                  </w:pPr>
                  <w:r>
                    <w:rPr>
                      <w:sz w:val="20"/>
                      <w:szCs w:val="20"/>
                    </w:rPr>
                    <w:t>6</w:t>
                  </w:r>
                </w:p>
              </w:tc>
              <w:tc>
                <w:tcPr>
                  <w:tcW w:w="3260" w:type="dxa"/>
                </w:tcPr>
                <w:p w14:paraId="58D447E5" w14:textId="6130DBF1" w:rsidR="00D652EA" w:rsidRDefault="00D652EA" w:rsidP="00D652EA">
                  <w:pPr>
                    <w:rPr>
                      <w:sz w:val="20"/>
                      <w:szCs w:val="20"/>
                    </w:rPr>
                  </w:pPr>
                  <w:r w:rsidRPr="004D6D7A">
                    <w:rPr>
                      <w:sz w:val="20"/>
                      <w:szCs w:val="20"/>
                    </w:rPr>
                    <w:t>Elewacja - bez wyprawy na parterze, Posadzki mieszkania, Posadzki hala garażowa, szpachlowanie sufitów, Montaż witryn na klatkach schodowych</w:t>
                  </w:r>
                </w:p>
              </w:tc>
              <w:tc>
                <w:tcPr>
                  <w:tcW w:w="1695" w:type="dxa"/>
                </w:tcPr>
                <w:p w14:paraId="62D6F727" w14:textId="0AB0D2B7" w:rsidR="00D652EA" w:rsidRDefault="00D652EA" w:rsidP="00D652EA">
                  <w:pPr>
                    <w:rPr>
                      <w:sz w:val="20"/>
                      <w:szCs w:val="20"/>
                    </w:rPr>
                  </w:pPr>
                  <w:r w:rsidRPr="004D6D7A">
                    <w:rPr>
                      <w:sz w:val="20"/>
                      <w:szCs w:val="20"/>
                    </w:rPr>
                    <w:t>12,21%</w:t>
                  </w:r>
                </w:p>
              </w:tc>
              <w:tc>
                <w:tcPr>
                  <w:tcW w:w="1833" w:type="dxa"/>
                </w:tcPr>
                <w:p w14:paraId="6BD480A3" w14:textId="018394C2" w:rsidR="00D652EA" w:rsidRDefault="00D652EA" w:rsidP="00D652EA">
                  <w:pPr>
                    <w:rPr>
                      <w:sz w:val="20"/>
                      <w:szCs w:val="20"/>
                    </w:rPr>
                  </w:pPr>
                  <w:r w:rsidRPr="004D6D7A">
                    <w:rPr>
                      <w:sz w:val="20"/>
                      <w:szCs w:val="20"/>
                    </w:rPr>
                    <w:t>30.09.2025</w:t>
                  </w:r>
                </w:p>
              </w:tc>
            </w:tr>
            <w:tr w:rsidR="00D652EA" w14:paraId="7D69F5E8" w14:textId="77777777" w:rsidTr="004D6D7A">
              <w:tc>
                <w:tcPr>
                  <w:tcW w:w="543" w:type="dxa"/>
                </w:tcPr>
                <w:p w14:paraId="0EA6FCCD" w14:textId="7AC47567" w:rsidR="00D652EA" w:rsidRDefault="00D652EA" w:rsidP="00D652EA">
                  <w:pPr>
                    <w:rPr>
                      <w:sz w:val="20"/>
                      <w:szCs w:val="20"/>
                    </w:rPr>
                  </w:pPr>
                  <w:r>
                    <w:rPr>
                      <w:sz w:val="20"/>
                      <w:szCs w:val="20"/>
                    </w:rPr>
                    <w:t>7</w:t>
                  </w:r>
                </w:p>
              </w:tc>
              <w:tc>
                <w:tcPr>
                  <w:tcW w:w="3260" w:type="dxa"/>
                </w:tcPr>
                <w:p w14:paraId="373D01C4" w14:textId="4EC4BB7C" w:rsidR="00D652EA" w:rsidRDefault="00D652EA" w:rsidP="00D652EA">
                  <w:pPr>
                    <w:rPr>
                      <w:sz w:val="20"/>
                      <w:szCs w:val="20"/>
                    </w:rPr>
                  </w:pPr>
                  <w:r w:rsidRPr="004D6D7A">
                    <w:rPr>
                      <w:sz w:val="20"/>
                      <w:szCs w:val="20"/>
                    </w:rPr>
                    <w:t>Roboty wykończeniowe, elewacja wyprawa na parterze, obróbki blacharskie, Instalacyjne (montaż osprzętu),  Pozostałe prace stanu deweloperskiego,</w:t>
                  </w:r>
                </w:p>
              </w:tc>
              <w:tc>
                <w:tcPr>
                  <w:tcW w:w="1695" w:type="dxa"/>
                </w:tcPr>
                <w:p w14:paraId="3A798602" w14:textId="25FDA354" w:rsidR="00D652EA" w:rsidRDefault="00D652EA" w:rsidP="00D652EA">
                  <w:pPr>
                    <w:rPr>
                      <w:sz w:val="20"/>
                      <w:szCs w:val="20"/>
                    </w:rPr>
                  </w:pPr>
                  <w:r w:rsidRPr="004D6D7A">
                    <w:rPr>
                      <w:sz w:val="20"/>
                      <w:szCs w:val="20"/>
                    </w:rPr>
                    <w:t>10,19%</w:t>
                  </w:r>
                </w:p>
              </w:tc>
              <w:tc>
                <w:tcPr>
                  <w:tcW w:w="1833" w:type="dxa"/>
                </w:tcPr>
                <w:p w14:paraId="6316D158" w14:textId="5B91853E" w:rsidR="00D652EA" w:rsidRDefault="00D652EA" w:rsidP="00D652EA">
                  <w:pPr>
                    <w:rPr>
                      <w:sz w:val="20"/>
                      <w:szCs w:val="20"/>
                    </w:rPr>
                  </w:pPr>
                  <w:r w:rsidRPr="004D6D7A">
                    <w:rPr>
                      <w:sz w:val="20"/>
                      <w:szCs w:val="20"/>
                    </w:rPr>
                    <w:t>31.12.2025</w:t>
                  </w:r>
                </w:p>
              </w:tc>
            </w:tr>
          </w:tbl>
          <w:p w14:paraId="53BD519F" w14:textId="17FF0CE2" w:rsidR="00D652EA" w:rsidRPr="004D6D7A" w:rsidRDefault="00D652EA" w:rsidP="00D652EA">
            <w:pPr>
              <w:rPr>
                <w:sz w:val="20"/>
                <w:szCs w:val="20"/>
              </w:rPr>
            </w:pPr>
          </w:p>
        </w:tc>
      </w:tr>
      <w:tr w:rsidR="00D652EA" w:rsidRPr="00B371F5" w14:paraId="3896EC2B"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5D3A303E" w14:textId="77777777" w:rsidR="00D652EA" w:rsidRPr="00B371F5" w:rsidRDefault="00D652EA" w:rsidP="00D652EA">
            <w:pPr>
              <w:spacing w:after="0"/>
              <w:rPr>
                <w:sz w:val="20"/>
                <w:szCs w:val="20"/>
              </w:rPr>
            </w:pPr>
            <w:r w:rsidRPr="00B371F5">
              <w:rPr>
                <w:color w:val="000000"/>
                <w:sz w:val="20"/>
                <w:szCs w:val="20"/>
              </w:rPr>
              <w:t>Dopuszczenie waloryzacji ceny oraz określenie zasad waloryzacji</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52680791" w14:textId="77777777" w:rsidR="00D652EA" w:rsidRPr="00B371F5" w:rsidRDefault="00D652EA" w:rsidP="00D652EA">
            <w:pPr>
              <w:rPr>
                <w:sz w:val="20"/>
                <w:szCs w:val="20"/>
              </w:rPr>
            </w:pPr>
            <w:r w:rsidRPr="00B371F5">
              <w:rPr>
                <w:sz w:val="20"/>
                <w:szCs w:val="20"/>
              </w:rPr>
              <w:t>Tak;</w:t>
            </w:r>
          </w:p>
          <w:p w14:paraId="424141B1" w14:textId="34A304FE" w:rsidR="00D652EA" w:rsidRPr="00B371F5" w:rsidRDefault="00D652EA" w:rsidP="00D652EA">
            <w:pPr>
              <w:jc w:val="both"/>
              <w:rPr>
                <w:sz w:val="20"/>
                <w:szCs w:val="20"/>
              </w:rPr>
            </w:pPr>
            <w:r w:rsidRPr="00B371F5">
              <w:rPr>
                <w:sz w:val="20"/>
                <w:szCs w:val="20"/>
              </w:rPr>
              <w:t xml:space="preserve">1) w przypadku zmiany przepisów prawnych dotyczących podatku od towarów i usług, cena zostanie stosownie zmieniona, w sposób uwzględniający zmianę takich przepisów. Cena, z uwzględnieniem zmian, o których mowa wyżej zostanie ostatecznie skalkulowana, z uwzględnieniem przepisów prawa, w tym w szczególności określających odpowiednie </w:t>
            </w:r>
            <w:r w:rsidRPr="00B371F5">
              <w:rPr>
                <w:sz w:val="20"/>
                <w:szCs w:val="20"/>
              </w:rPr>
              <w:lastRenderedPageBreak/>
              <w:t>stawki podatku od towarów i usług (VAT), obowiązujących na dzień zawarcia Umowy Przeniesienia Własności. W przypadku zmiany stawki podatku VAT, wpływającej na wysokość ceny, Nabywcy przysługuje prawo odstąpienia od Umowy Deweloperskiej, zgodnie z jej postanowieniem.</w:t>
            </w:r>
          </w:p>
          <w:p w14:paraId="0F1518FA" w14:textId="442C7AB8" w:rsidR="00D652EA" w:rsidRPr="00B371F5" w:rsidRDefault="00D652EA" w:rsidP="00D652EA">
            <w:pPr>
              <w:jc w:val="both"/>
              <w:rPr>
                <w:sz w:val="20"/>
                <w:szCs w:val="20"/>
              </w:rPr>
            </w:pPr>
            <w:r w:rsidRPr="00B371F5">
              <w:rPr>
                <w:sz w:val="20"/>
                <w:szCs w:val="20"/>
              </w:rPr>
              <w:t xml:space="preserve">2) </w:t>
            </w:r>
            <w:r w:rsidRPr="00301D45">
              <w:rPr>
                <w:sz w:val="20"/>
                <w:szCs w:val="20"/>
              </w:rPr>
              <w:t>w przypadku zmiany projektowanej powierzchni użytkowej Lokalu podanej w Umowie Deweloperskiej w wyniku dokonania pomiarów powykonawczych Lokalu. Na podstawie ostatecznej Powierzchni Użytkowej Lokalu w stosunku do powierzchni planowanej zostanie skorygowana Cena Nabycia w ten sposób, że różnica pomiędzy projektowaną powierzchnią użytkową, a ostateczną powierzchnią użytkową zostanie pomnożona przez cenę brutto za jeden metr kwadratowy powierzchni użytkowej lokalu a otrzymana wartość zostanie dodana do Ceny Nabycia (w przypadku ostatecznej Powierzchni Użytkowej Lokalu większej niż projektowa) bądź od niej odjęta (w przypadku ostatecznej Powierzchni Użytkowej Lokalu mniejszej niż projektowana</w:t>
            </w:r>
            <w:r>
              <w:rPr>
                <w:sz w:val="20"/>
                <w:szCs w:val="20"/>
              </w:rPr>
              <w:t>.</w:t>
            </w:r>
          </w:p>
          <w:p w14:paraId="5F70B2A8" w14:textId="79AC5DDD" w:rsidR="00D652EA" w:rsidRPr="00B371F5" w:rsidRDefault="00D652EA" w:rsidP="00D652EA">
            <w:pPr>
              <w:jc w:val="both"/>
              <w:rPr>
                <w:strike/>
                <w:sz w:val="20"/>
                <w:szCs w:val="20"/>
              </w:rPr>
            </w:pPr>
            <w:r w:rsidRPr="00B371F5">
              <w:rPr>
                <w:sz w:val="20"/>
                <w:szCs w:val="20"/>
              </w:rPr>
              <w:t>3) w przypadku wprowadzenia przez Dewelopera na zlecenie Nabywcy zmian w stosunku do standardu Lokalu podwyższających ten standard.</w:t>
            </w:r>
          </w:p>
          <w:p w14:paraId="305460A0" w14:textId="52C63823" w:rsidR="00D652EA" w:rsidRPr="00B371F5" w:rsidRDefault="00D652EA" w:rsidP="00D652EA">
            <w:pPr>
              <w:jc w:val="both"/>
              <w:rPr>
                <w:sz w:val="20"/>
                <w:szCs w:val="20"/>
              </w:rPr>
            </w:pPr>
            <w:r w:rsidRPr="00B371F5">
              <w:rPr>
                <w:sz w:val="20"/>
                <w:szCs w:val="20"/>
              </w:rPr>
              <w:t xml:space="preserve">Po zapłaceniu przez Nabywcę co najmniej 10% Ceny Nabycia Lokalu, Nabywca na zasadach określonych w  załączniku nr 5 do niniejszego prospektu „Zasady Realizacji Zleceń Aranżacyjnych”, może wnosić o określenie cech indywidualnych Lokalu w zakresie układu architektonicznego Lokalu oraz sposobu jego wykończenia i wyposażenia. Wszelkie zmiany odnoszące się do Lokalu Nabywca zobowiązany jest uzgodnić z Deweloperem w formie pisemnej (pod rygorem nieważności), przy czym Deweloper nie jest zobowiązany do uwzględnienia wniosku Nabywcy o dokonanie zmian. </w:t>
            </w:r>
          </w:p>
          <w:p w14:paraId="6631AD84" w14:textId="57C6529C" w:rsidR="00D652EA" w:rsidRPr="00B371F5" w:rsidRDefault="00D652EA" w:rsidP="00D652EA">
            <w:pPr>
              <w:jc w:val="both"/>
              <w:rPr>
                <w:sz w:val="20"/>
                <w:szCs w:val="20"/>
              </w:rPr>
            </w:pPr>
            <w:r w:rsidRPr="00B371F5">
              <w:rPr>
                <w:sz w:val="20"/>
                <w:szCs w:val="20"/>
              </w:rPr>
              <w:t>W przypadku uwzględnienia przez Dewelopera wniosku Nabywcy o określenie cech indywidualnych Lokalu w zakresie układu architektonicznego Lokalu oraz sposobu jego wykończenia i wyposażenia Lokalu należna Deweloperowi kwota z tytułu zmian będzie przedstawiona przez Dewelopera Nabywcy w postaci - :Rozliczenia zmian aranżacyjnych” najpóźniej na 14 dni przed dniem zawarcia Umowy Przeniesienia Własności.</w:t>
            </w:r>
          </w:p>
          <w:p w14:paraId="1C59B58F" w14:textId="39BDF1E8" w:rsidR="00D652EA" w:rsidRPr="00B371F5" w:rsidRDefault="00D652EA" w:rsidP="00D652EA">
            <w:pPr>
              <w:jc w:val="both"/>
              <w:rPr>
                <w:sz w:val="20"/>
                <w:szCs w:val="20"/>
              </w:rPr>
            </w:pPr>
            <w:r w:rsidRPr="00B371F5">
              <w:rPr>
                <w:sz w:val="20"/>
                <w:szCs w:val="20"/>
              </w:rPr>
              <w:t xml:space="preserve">Kwota ta nie zwiększa ceny nabycia, jednakże w przypadku akcepcji przez Dewelopera wniosku oraz kwoty z tytułu zmian przez Nabywcę, Nabywca zapłaci Deweloperowi w terminie 14 dni od dnia przedstawienia Nabywcy Rozliczenia zmian aranżacyjnych – nie później jednak niż przed dniem zawarcia Umowy Przeniesienia Własności, na wskazany przez Dewelopera rachunek bankowy na podstawie odrębnej faktury VAT. Przy czym w przypadku niedojścia do zawarcia umowy przyrzeczonej przeniesienia własności przedmiotowego Lokalu z przyczyn innych niż leżące wyłącznie po stronie Dewelopera – Nabywca zobowiązuje się do pokrycia kosztów przywrócenia Lokalu do stanu z karty lokalu przed zmianami o których mowa powyżej.  </w:t>
            </w:r>
          </w:p>
        </w:tc>
      </w:tr>
      <w:tr w:rsidR="00D652EA" w:rsidRPr="00B371F5" w14:paraId="398B933E" w14:textId="77777777" w:rsidTr="00345502">
        <w:trPr>
          <w:trHeight w:val="45"/>
          <w:tblCellSpacing w:w="0" w:type="auto"/>
        </w:trPr>
        <w:tc>
          <w:tcPr>
            <w:tcW w:w="10490" w:type="dxa"/>
            <w:gridSpan w:val="4"/>
            <w:tcBorders>
              <w:bottom w:val="single" w:sz="8" w:space="0" w:color="000000"/>
              <w:right w:val="single" w:sz="8" w:space="0" w:color="000000"/>
            </w:tcBorders>
            <w:tcMar>
              <w:top w:w="15" w:type="dxa"/>
              <w:left w:w="15" w:type="dxa"/>
              <w:bottom w:w="15" w:type="dxa"/>
              <w:right w:w="15" w:type="dxa"/>
            </w:tcMar>
            <w:vAlign w:val="center"/>
          </w:tcPr>
          <w:p w14:paraId="10EEF076" w14:textId="77777777" w:rsidR="00D652EA" w:rsidRPr="00B371F5" w:rsidRDefault="00D652EA" w:rsidP="00D652EA">
            <w:pPr>
              <w:spacing w:after="0"/>
              <w:rPr>
                <w:sz w:val="20"/>
                <w:szCs w:val="20"/>
              </w:rPr>
            </w:pPr>
            <w:r w:rsidRPr="00B371F5">
              <w:rPr>
                <w:b/>
                <w:color w:val="000000"/>
                <w:sz w:val="20"/>
                <w:szCs w:val="20"/>
              </w:rPr>
              <w:lastRenderedPageBreak/>
              <w:t>WARUNKI ODSTĄPIENIA OD UMOWY DEWELOPERSKIEJ LUB UMOWY, O KTÓREJ MOWA W ART. 2 UST. 1 PKT 2, 3 LUB 5 USTAWY Z DNIA 20 MAJA 2021 r. O OCHRONIE PRAW NABYWCY LOKALU MIESZKALNEGO LUB DOMU JEDNORODZINNEGO ORAZ DEWELOPERSKIM FUNDUSZU GWARANCYJNYM</w:t>
            </w:r>
          </w:p>
        </w:tc>
      </w:tr>
      <w:tr w:rsidR="00D652EA" w:rsidRPr="00B371F5" w14:paraId="665799C0" w14:textId="77777777" w:rsidTr="00345502">
        <w:trPr>
          <w:trHeight w:val="45"/>
          <w:tblCellSpacing w:w="0" w:type="auto"/>
        </w:trPr>
        <w:tc>
          <w:tcPr>
            <w:tcW w:w="3119" w:type="dxa"/>
            <w:tcBorders>
              <w:bottom w:val="single" w:sz="8" w:space="0" w:color="000000"/>
              <w:right w:val="single" w:sz="8" w:space="0" w:color="000000"/>
            </w:tcBorders>
            <w:tcMar>
              <w:top w:w="15" w:type="dxa"/>
              <w:left w:w="15" w:type="dxa"/>
              <w:bottom w:w="15" w:type="dxa"/>
              <w:right w:w="15" w:type="dxa"/>
            </w:tcMar>
            <w:vAlign w:val="center"/>
          </w:tcPr>
          <w:p w14:paraId="6236CD32" w14:textId="77777777" w:rsidR="00D652EA" w:rsidRPr="00B371F5" w:rsidRDefault="00D652EA" w:rsidP="00D652EA">
            <w:pPr>
              <w:spacing w:after="0"/>
              <w:rPr>
                <w:color w:val="000000"/>
                <w:sz w:val="20"/>
                <w:szCs w:val="20"/>
              </w:rPr>
            </w:pPr>
          </w:p>
          <w:p w14:paraId="3A9C8A17" w14:textId="6B6AF3C4" w:rsidR="00D652EA" w:rsidRPr="00B371F5" w:rsidRDefault="00D652EA" w:rsidP="00D652EA">
            <w:pPr>
              <w:spacing w:after="0"/>
              <w:rPr>
                <w:sz w:val="20"/>
                <w:szCs w:val="20"/>
              </w:rPr>
            </w:pPr>
            <w:r w:rsidRPr="00B371F5">
              <w:rPr>
                <w:color w:val="000000"/>
                <w:sz w:val="20"/>
                <w:szCs w:val="20"/>
              </w:rPr>
              <w:t xml:space="preserve">Warunki, na jakich można odstąpić od umowy deweloperskiej lub jednej z umów, o których mowa w </w:t>
            </w:r>
            <w:r w:rsidRPr="00B371F5">
              <w:rPr>
                <w:color w:val="1B1B1B"/>
                <w:sz w:val="20"/>
                <w:szCs w:val="20"/>
              </w:rPr>
              <w:t>art. 2 ust. 1 pkt 2</w:t>
            </w:r>
            <w:r w:rsidRPr="00B371F5">
              <w:rPr>
                <w:color w:val="000000"/>
                <w:sz w:val="20"/>
                <w:szCs w:val="20"/>
              </w:rPr>
              <w:t xml:space="preserve">, </w:t>
            </w:r>
            <w:r w:rsidRPr="00B371F5">
              <w:rPr>
                <w:color w:val="1B1B1B"/>
                <w:sz w:val="20"/>
                <w:szCs w:val="20"/>
              </w:rPr>
              <w:t>3</w:t>
            </w:r>
            <w:r w:rsidRPr="00B371F5">
              <w:rPr>
                <w:color w:val="000000"/>
                <w:sz w:val="20"/>
                <w:szCs w:val="20"/>
              </w:rPr>
              <w:t xml:space="preserve"> lub </w:t>
            </w:r>
            <w:r w:rsidRPr="00B371F5">
              <w:rPr>
                <w:color w:val="1B1B1B"/>
                <w:sz w:val="20"/>
                <w:szCs w:val="20"/>
              </w:rPr>
              <w:t>5</w:t>
            </w:r>
            <w:r w:rsidRPr="00B371F5">
              <w:rPr>
                <w:color w:val="000000"/>
                <w:sz w:val="20"/>
                <w:szCs w:val="20"/>
              </w:rPr>
              <w:t xml:space="preserve"> ustawy z dnia 20 maja 2021 r. o ochronie praw nabywcy lokalu mieszkalnego lub domu </w:t>
            </w:r>
            <w:r w:rsidRPr="00B371F5">
              <w:rPr>
                <w:color w:val="000000"/>
                <w:sz w:val="20"/>
                <w:szCs w:val="20"/>
              </w:rPr>
              <w:lastRenderedPageBreak/>
              <w:t>jednorodzinnego oraz Deweloperskim Funduszu Gwarancyjnym</w:t>
            </w:r>
          </w:p>
        </w:tc>
        <w:tc>
          <w:tcPr>
            <w:tcW w:w="7371" w:type="dxa"/>
            <w:gridSpan w:val="3"/>
            <w:tcBorders>
              <w:bottom w:val="single" w:sz="8" w:space="0" w:color="000000"/>
              <w:right w:val="single" w:sz="8" w:space="0" w:color="000000"/>
            </w:tcBorders>
            <w:tcMar>
              <w:top w:w="15" w:type="dxa"/>
              <w:left w:w="15" w:type="dxa"/>
              <w:bottom w:w="15" w:type="dxa"/>
              <w:right w:w="15" w:type="dxa"/>
            </w:tcMar>
            <w:vAlign w:val="center"/>
          </w:tcPr>
          <w:p w14:paraId="6D6018B7" w14:textId="07CE7224" w:rsidR="00D652EA" w:rsidRPr="00B371F5" w:rsidRDefault="00D652EA" w:rsidP="00D652EA">
            <w:pPr>
              <w:pStyle w:val="Akapitzlist"/>
              <w:numPr>
                <w:ilvl w:val="0"/>
                <w:numId w:val="37"/>
              </w:numPr>
              <w:spacing w:after="0"/>
              <w:jc w:val="both"/>
              <w:rPr>
                <w:sz w:val="20"/>
                <w:szCs w:val="20"/>
              </w:rPr>
            </w:pPr>
            <w:r w:rsidRPr="00B371F5">
              <w:rPr>
                <w:bCs/>
                <w:sz w:val="20"/>
                <w:szCs w:val="20"/>
              </w:rPr>
              <w:lastRenderedPageBreak/>
              <w:t>Nabywca</w:t>
            </w:r>
            <w:r w:rsidRPr="00B371F5">
              <w:rPr>
                <w:sz w:val="20"/>
                <w:szCs w:val="20"/>
              </w:rPr>
              <w:t xml:space="preserve"> ma prawo odstąpić od niniejszej Umowy Deweloperskiej: </w:t>
            </w:r>
          </w:p>
          <w:p w14:paraId="1AA1104E" w14:textId="15FD7538" w:rsidR="00D652EA" w:rsidRPr="00B371F5" w:rsidRDefault="00D652EA" w:rsidP="00D652EA">
            <w:pPr>
              <w:pStyle w:val="Akapitzlist"/>
              <w:numPr>
                <w:ilvl w:val="0"/>
                <w:numId w:val="38"/>
              </w:numPr>
              <w:spacing w:after="0"/>
              <w:ind w:left="411"/>
              <w:jc w:val="both"/>
              <w:rPr>
                <w:sz w:val="20"/>
                <w:szCs w:val="20"/>
              </w:rPr>
            </w:pPr>
            <w:r w:rsidRPr="00B371F5">
              <w:rPr>
                <w:sz w:val="20"/>
                <w:szCs w:val="20"/>
              </w:rPr>
              <w:t xml:space="preserve">jeżeli Umowa Deweloperska nie zawiera elementów, o których mowa w art. 35 Ustawy Deweloperskiej; </w:t>
            </w:r>
          </w:p>
          <w:p w14:paraId="2FFB4280" w14:textId="3786AA47" w:rsidR="00D652EA" w:rsidRPr="00B371F5" w:rsidRDefault="00D652EA" w:rsidP="00D652EA">
            <w:pPr>
              <w:pStyle w:val="Akapitzlist"/>
              <w:numPr>
                <w:ilvl w:val="0"/>
                <w:numId w:val="38"/>
              </w:numPr>
              <w:spacing w:after="0"/>
              <w:ind w:left="411"/>
              <w:jc w:val="both"/>
              <w:rPr>
                <w:sz w:val="20"/>
                <w:szCs w:val="20"/>
              </w:rPr>
            </w:pPr>
            <w:r w:rsidRPr="00B371F5">
              <w:rPr>
                <w:sz w:val="20"/>
                <w:szCs w:val="20"/>
              </w:rPr>
              <w:t xml:space="preserve">jeżeli informacje zawarte w Umowie Deweloperskiej nie są zgodne z informacjami zawartymi w Prospekcie Informacyjnym lub w załącznikach do Prospektu Informacyjnego, za wyjątkiem zmian, wskazanych wyraźnie i w sposób jednoznaczny w treści niniejszej Umowy Deweloperskiej; </w:t>
            </w:r>
          </w:p>
          <w:p w14:paraId="5532EAE3" w14:textId="443F43D4" w:rsidR="00D652EA" w:rsidRPr="00B371F5" w:rsidRDefault="00D652EA" w:rsidP="00D652EA">
            <w:pPr>
              <w:pStyle w:val="Akapitzlist"/>
              <w:numPr>
                <w:ilvl w:val="0"/>
                <w:numId w:val="38"/>
              </w:numPr>
              <w:spacing w:after="0"/>
              <w:ind w:left="411"/>
              <w:jc w:val="both"/>
              <w:rPr>
                <w:sz w:val="20"/>
                <w:szCs w:val="20"/>
              </w:rPr>
            </w:pPr>
            <w:r w:rsidRPr="00B371F5">
              <w:rPr>
                <w:sz w:val="20"/>
                <w:szCs w:val="20"/>
              </w:rPr>
              <w:lastRenderedPageBreak/>
              <w:t>jeżeli Deweloper nie doręczył Nabywcy zgodnie z art. 21 i art. 22 Ustawy Deweloperskiej Prospektu Informacyjnego wraz z załącznikami lub informacji o zmianie danych lub informacji zawartych w prospekcie informacyjnym lub jego załącznikach;</w:t>
            </w:r>
          </w:p>
          <w:p w14:paraId="1D69DDC2" w14:textId="4A19F448" w:rsidR="00D652EA" w:rsidRPr="00B371F5" w:rsidRDefault="00D652EA" w:rsidP="00D652EA">
            <w:pPr>
              <w:pStyle w:val="Akapitzlist"/>
              <w:numPr>
                <w:ilvl w:val="0"/>
                <w:numId w:val="38"/>
              </w:numPr>
              <w:spacing w:after="0"/>
              <w:ind w:left="411"/>
              <w:jc w:val="both"/>
              <w:rPr>
                <w:sz w:val="20"/>
                <w:szCs w:val="20"/>
              </w:rPr>
            </w:pPr>
            <w:r w:rsidRPr="00B371F5">
              <w:rPr>
                <w:sz w:val="20"/>
                <w:szCs w:val="20"/>
              </w:rPr>
              <w:t>jeżeli informacje zawarte w Prospekcie Informacyjnym lub w załącznikach do Prospektu Informacyjnego, na podstawie których zawarto niniejszą Umowę Deweloperską, są niezgodne ze stanem faktycznym i prawnym w dniu podpisania Umowy Deweloperskiej;</w:t>
            </w:r>
          </w:p>
          <w:p w14:paraId="5926AF85" w14:textId="77777777" w:rsidR="00D652EA" w:rsidRPr="00B371F5" w:rsidRDefault="00D652EA" w:rsidP="00D652EA">
            <w:pPr>
              <w:pStyle w:val="Akapitzlist"/>
              <w:numPr>
                <w:ilvl w:val="0"/>
                <w:numId w:val="38"/>
              </w:numPr>
              <w:spacing w:after="0"/>
              <w:ind w:left="411"/>
              <w:jc w:val="both"/>
              <w:rPr>
                <w:sz w:val="20"/>
                <w:szCs w:val="20"/>
              </w:rPr>
            </w:pPr>
            <w:r w:rsidRPr="00B371F5">
              <w:rPr>
                <w:sz w:val="20"/>
                <w:szCs w:val="20"/>
              </w:rPr>
              <w:t>jeżeli Prospekt Informacyjny, na podstawie którego zawarto niniejszą Umowę Deweloperską, nie zawiera informacji określonych we wzorze prospektu informacyjnego;</w:t>
            </w:r>
          </w:p>
          <w:p w14:paraId="232AF242" w14:textId="77777777" w:rsidR="00D652EA" w:rsidRPr="00B371F5" w:rsidRDefault="00D652EA" w:rsidP="00D652EA">
            <w:pPr>
              <w:pStyle w:val="Akapitzlist"/>
              <w:numPr>
                <w:ilvl w:val="0"/>
                <w:numId w:val="38"/>
              </w:numPr>
              <w:spacing w:after="0"/>
              <w:ind w:left="411"/>
              <w:jc w:val="both"/>
              <w:rPr>
                <w:sz w:val="20"/>
                <w:szCs w:val="20"/>
              </w:rPr>
            </w:pPr>
            <w:r w:rsidRPr="00B371F5">
              <w:rPr>
                <w:sz w:val="20"/>
                <w:szCs w:val="20"/>
              </w:rPr>
              <w:t xml:space="preserve">z zastrzeżeniem postanowień ust. 3 poniżej, w przypadku nie przeniesienia na Nabywcę prawa własności Lokalu, w terminie określonym w Umowie Deweloperskiej. </w:t>
            </w:r>
          </w:p>
          <w:p w14:paraId="5DF74586" w14:textId="77777777" w:rsidR="00D652EA" w:rsidRPr="00B371F5" w:rsidRDefault="00D652EA" w:rsidP="00D652EA">
            <w:pPr>
              <w:pStyle w:val="Akapitzlist"/>
              <w:numPr>
                <w:ilvl w:val="0"/>
                <w:numId w:val="38"/>
              </w:numPr>
              <w:spacing w:after="0"/>
              <w:ind w:left="411"/>
              <w:jc w:val="both"/>
              <w:rPr>
                <w:sz w:val="20"/>
                <w:szCs w:val="20"/>
              </w:rPr>
            </w:pPr>
            <w:r w:rsidRPr="00B371F5">
              <w:rPr>
                <w:color w:val="000000" w:themeColor="text1"/>
                <w:sz w:val="20"/>
                <w:szCs w:val="20"/>
                <w:shd w:val="clear" w:color="auto" w:fill="FFFFFF"/>
              </w:rPr>
              <w:t xml:space="preserve">w przypadku gdy Deweloper nie zawrze umowy mieszkaniowego rachunku powierniczego </w:t>
            </w:r>
            <w:r w:rsidRPr="00B371F5">
              <w:rPr>
                <w:sz w:val="20"/>
                <w:szCs w:val="20"/>
                <w:shd w:val="clear" w:color="auto" w:fill="FFFFFF"/>
              </w:rPr>
              <w:t xml:space="preserve">z innym bankiem lub inną kasą w trybie i terminie, o których mowa </w:t>
            </w:r>
            <w:hyperlink r:id="rId7" w:history="1">
              <w:r w:rsidRPr="00B371F5">
                <w:rPr>
                  <w:sz w:val="20"/>
                  <w:szCs w:val="20"/>
                  <w:shd w:val="clear" w:color="auto" w:fill="FFFFFF"/>
                </w:rPr>
                <w:t>art. 10 ust. 1</w:t>
              </w:r>
            </w:hyperlink>
            <w:r w:rsidRPr="00B371F5">
              <w:rPr>
                <w:sz w:val="20"/>
                <w:szCs w:val="20"/>
              </w:rPr>
              <w:t xml:space="preserve"> Ustawy Deweloperskiej</w:t>
            </w:r>
            <w:r w:rsidRPr="00B371F5">
              <w:rPr>
                <w:sz w:val="20"/>
                <w:szCs w:val="20"/>
                <w:shd w:val="clear" w:color="auto" w:fill="FFFFFF"/>
              </w:rPr>
              <w:t>;</w:t>
            </w:r>
          </w:p>
          <w:p w14:paraId="715F18D0" w14:textId="77777777" w:rsidR="00D652EA" w:rsidRPr="00B371F5" w:rsidRDefault="00D652EA" w:rsidP="00D652EA">
            <w:pPr>
              <w:pStyle w:val="Akapitzlist"/>
              <w:numPr>
                <w:ilvl w:val="0"/>
                <w:numId w:val="38"/>
              </w:numPr>
              <w:spacing w:after="0"/>
              <w:ind w:left="411"/>
              <w:jc w:val="both"/>
              <w:rPr>
                <w:sz w:val="20"/>
                <w:szCs w:val="20"/>
              </w:rPr>
            </w:pPr>
            <w:r w:rsidRPr="00B371F5">
              <w:rPr>
                <w:sz w:val="20"/>
                <w:szCs w:val="20"/>
              </w:rPr>
              <w:t>w przypadku gdy Deweloper nie posiada zgody wierzyciela hipotecznego lub zobowiązania do jej udzielenia, o których mowa w art. 25 ust. 1 pkt 1 Ustawy Deweloperskiej,</w:t>
            </w:r>
          </w:p>
          <w:p w14:paraId="108E021B" w14:textId="77777777" w:rsidR="00D652EA" w:rsidRPr="00B371F5" w:rsidRDefault="00D652EA" w:rsidP="00D652EA">
            <w:pPr>
              <w:pStyle w:val="Akapitzlist"/>
              <w:numPr>
                <w:ilvl w:val="0"/>
                <w:numId w:val="38"/>
              </w:numPr>
              <w:spacing w:after="0"/>
              <w:ind w:left="411"/>
              <w:jc w:val="both"/>
              <w:rPr>
                <w:sz w:val="20"/>
                <w:szCs w:val="20"/>
              </w:rPr>
            </w:pPr>
            <w:r w:rsidRPr="00B371F5">
              <w:rPr>
                <w:color w:val="000000" w:themeColor="text1"/>
                <w:sz w:val="20"/>
                <w:szCs w:val="20"/>
                <w:shd w:val="clear" w:color="auto" w:fill="FFFFFF"/>
              </w:rPr>
              <w:t>w przypadku niewykonania przez Dewelopera obowiązku, o którym mowa w </w:t>
            </w:r>
            <w:hyperlink r:id="rId8" w:history="1">
              <w:r w:rsidRPr="00B371F5">
                <w:rPr>
                  <w:color w:val="000000" w:themeColor="text1"/>
                  <w:sz w:val="20"/>
                  <w:szCs w:val="20"/>
                  <w:shd w:val="clear" w:color="auto" w:fill="FFFFFF"/>
                </w:rPr>
                <w:t>art. 12 ust. 2</w:t>
              </w:r>
            </w:hyperlink>
            <w:r w:rsidRPr="00B371F5">
              <w:rPr>
                <w:color w:val="000000" w:themeColor="text1"/>
                <w:sz w:val="20"/>
                <w:szCs w:val="20"/>
              </w:rPr>
              <w:t xml:space="preserve"> Ustawy Deweloperskiej</w:t>
            </w:r>
            <w:r w:rsidRPr="00B371F5">
              <w:rPr>
                <w:color w:val="000000" w:themeColor="text1"/>
                <w:sz w:val="20"/>
                <w:szCs w:val="20"/>
                <w:shd w:val="clear" w:color="auto" w:fill="FFFFFF"/>
              </w:rPr>
              <w:t>, w terminie określonym w tym przepisie.</w:t>
            </w:r>
          </w:p>
          <w:p w14:paraId="478F25AA" w14:textId="77777777" w:rsidR="00D652EA" w:rsidRPr="00B371F5" w:rsidRDefault="00D652EA" w:rsidP="00D652EA">
            <w:pPr>
              <w:pStyle w:val="Akapitzlist"/>
              <w:numPr>
                <w:ilvl w:val="0"/>
                <w:numId w:val="38"/>
              </w:numPr>
              <w:spacing w:after="0"/>
              <w:ind w:left="411"/>
              <w:jc w:val="both"/>
              <w:rPr>
                <w:sz w:val="20"/>
                <w:szCs w:val="20"/>
              </w:rPr>
            </w:pPr>
            <w:r w:rsidRPr="00B371F5">
              <w:rPr>
                <w:sz w:val="20"/>
                <w:szCs w:val="20"/>
              </w:rPr>
              <w:t>w przypadku nieusunięcia przez Deweloper wady istotnej lokalu mieszkalnego albo domu jednorodzinnego na zasadach określonych w art. 41 ust. 11 Ustawy Deweloperskiej;</w:t>
            </w:r>
          </w:p>
          <w:p w14:paraId="1E818FC8" w14:textId="77777777" w:rsidR="00D652EA" w:rsidRPr="00B371F5" w:rsidRDefault="00D652EA" w:rsidP="00D652EA">
            <w:pPr>
              <w:pStyle w:val="Akapitzlist"/>
              <w:numPr>
                <w:ilvl w:val="0"/>
                <w:numId w:val="38"/>
              </w:numPr>
              <w:spacing w:after="0"/>
              <w:ind w:left="411"/>
              <w:jc w:val="both"/>
              <w:rPr>
                <w:sz w:val="20"/>
                <w:szCs w:val="20"/>
              </w:rPr>
            </w:pPr>
            <w:r w:rsidRPr="00B371F5">
              <w:rPr>
                <w:sz w:val="20"/>
                <w:szCs w:val="20"/>
              </w:rPr>
              <w:t>w przypadku stwierdzenia przez rzeczoznawcę istnienia wady istotnej, o którym mowa w art. 41 ust. 15 Ustawy Deweloperskiej;</w:t>
            </w:r>
          </w:p>
          <w:p w14:paraId="69CAE631" w14:textId="37B10E62" w:rsidR="00D652EA" w:rsidRPr="00B371F5" w:rsidRDefault="00D652EA" w:rsidP="00D652EA">
            <w:pPr>
              <w:pStyle w:val="Akapitzlist"/>
              <w:numPr>
                <w:ilvl w:val="0"/>
                <w:numId w:val="38"/>
              </w:numPr>
              <w:spacing w:after="0"/>
              <w:ind w:left="411"/>
              <w:jc w:val="both"/>
              <w:rPr>
                <w:sz w:val="20"/>
                <w:szCs w:val="20"/>
              </w:rPr>
            </w:pPr>
            <w:r w:rsidRPr="00B371F5">
              <w:rPr>
                <w:sz w:val="20"/>
                <w:szCs w:val="20"/>
              </w:rPr>
              <w:t>jeżeli syndyk zażądał wykonania umowy na podstawie art. 98 ustawy z dnia 28 lutego 2003 r. – Prawo upadłościowe.</w:t>
            </w:r>
          </w:p>
          <w:p w14:paraId="27EDE674" w14:textId="77777777" w:rsidR="00D652EA" w:rsidRPr="00B371F5" w:rsidRDefault="00D652EA" w:rsidP="00D652EA">
            <w:pPr>
              <w:pStyle w:val="Akapitzlist"/>
              <w:numPr>
                <w:ilvl w:val="0"/>
                <w:numId w:val="37"/>
              </w:numPr>
              <w:spacing w:after="0"/>
              <w:jc w:val="both"/>
              <w:rPr>
                <w:sz w:val="20"/>
                <w:szCs w:val="20"/>
              </w:rPr>
            </w:pPr>
            <w:r w:rsidRPr="00B371F5">
              <w:rPr>
                <w:sz w:val="20"/>
                <w:szCs w:val="20"/>
              </w:rPr>
              <w:t>Nabywcy służy prawo odstąpienia od umowy w terminie 30 (trzydziestu) dni od zawarcia umowy deweloperskiej z przyczyn wymienionych w punktach 1) – 5)</w:t>
            </w:r>
            <w:r w:rsidRPr="00B371F5">
              <w:rPr>
                <w:rFonts w:eastAsia="Gulim"/>
                <w:sz w:val="20"/>
                <w:szCs w:val="20"/>
              </w:rPr>
              <w:t>, w sytuacji określonej w pkt. 7)</w:t>
            </w:r>
            <w:r w:rsidRPr="00B371F5">
              <w:rPr>
                <w:sz w:val="20"/>
                <w:szCs w:val="20"/>
              </w:rPr>
              <w:t xml:space="preserve">, po dokonaniu przez bank zwrotu środków zgodnie z art. 10 ust. 3 </w:t>
            </w:r>
            <w:r w:rsidRPr="00B371F5">
              <w:rPr>
                <w:color w:val="000000" w:themeColor="text1"/>
                <w:sz w:val="20"/>
                <w:szCs w:val="20"/>
              </w:rPr>
              <w:t xml:space="preserve">ustawy  z dnia 20 maja 2021 roku o ochronie praw nabywcy lokalu mieszkalnego lub domu jednorodzinnego oraz Deweloperskim Funduszu Gwarancyjnym, zaś w sytuacji określonej w pkt. 8) </w:t>
            </w:r>
            <w:r w:rsidRPr="00B371F5">
              <w:rPr>
                <w:sz w:val="20"/>
                <w:szCs w:val="20"/>
              </w:rPr>
              <w:t>po upływie 60 dni od dnia podania do publicznej wiadomości informacji, o których mowa w art. 12 ust. 1</w:t>
            </w:r>
            <w:r w:rsidRPr="00B371F5">
              <w:rPr>
                <w:color w:val="000000" w:themeColor="text1"/>
                <w:sz w:val="20"/>
                <w:szCs w:val="20"/>
              </w:rPr>
              <w:t xml:space="preserve"> ustawy  z dnia 20 maja 2021 roku o ochronie praw nabywcy lokalu mieszkalnego lub domu jednorodzinnego oraz Deweloperskim Funduszu Gwarancyjnym</w:t>
            </w:r>
            <w:r w:rsidRPr="00B371F5">
              <w:rPr>
                <w:sz w:val="20"/>
                <w:szCs w:val="20"/>
              </w:rPr>
              <w:t>. -</w:t>
            </w:r>
          </w:p>
          <w:p w14:paraId="6CAEC542" w14:textId="38738E1B" w:rsidR="00D652EA" w:rsidRPr="00B371F5" w:rsidRDefault="00D652EA" w:rsidP="00D652EA">
            <w:pPr>
              <w:pStyle w:val="Akapitzlist"/>
              <w:numPr>
                <w:ilvl w:val="0"/>
                <w:numId w:val="37"/>
              </w:numPr>
              <w:spacing w:after="0"/>
              <w:jc w:val="both"/>
              <w:rPr>
                <w:sz w:val="20"/>
                <w:szCs w:val="20"/>
              </w:rPr>
            </w:pPr>
            <w:r w:rsidRPr="00B371F5">
              <w:rPr>
                <w:sz w:val="20"/>
                <w:szCs w:val="20"/>
              </w:rPr>
              <w:t xml:space="preserve">W przypadku, o którym mowa wyżej ust. 1 pkt 6), przed skorzystaniem z prawa do odstąpienia od Umowy Deweloperskiej Nabywca zobowiązany jest wyznaczyć Deweloperowi 120-dniowy termin na przeniesienie prawa własności Lokalu, a w razie bezskutecznego upływu wyznaczonego terminu, Nabywca będzie uprawniony do odstąpienia od niniejszej Umowy Deweloperskiej. Nabywca zachowuje roszczenie z tytułu kary umownej za okres opóźnienia w przeniesieniu prawa. </w:t>
            </w:r>
          </w:p>
          <w:p w14:paraId="07D25C02" w14:textId="441F85FD" w:rsidR="00D652EA" w:rsidRPr="00B371F5" w:rsidRDefault="00D652EA" w:rsidP="00D652EA">
            <w:pPr>
              <w:pStyle w:val="Akapitzlist"/>
              <w:numPr>
                <w:ilvl w:val="0"/>
                <w:numId w:val="37"/>
              </w:numPr>
              <w:spacing w:after="0"/>
              <w:jc w:val="both"/>
              <w:rPr>
                <w:rStyle w:val="Numerstrony"/>
                <w:rFonts w:eastAsiaTheme="majorEastAsia"/>
                <w:sz w:val="20"/>
                <w:szCs w:val="20"/>
              </w:rPr>
            </w:pPr>
            <w:r w:rsidRPr="00B371F5">
              <w:rPr>
                <w:rStyle w:val="Numerstrony"/>
                <w:rFonts w:eastAsiaTheme="majorEastAsia"/>
                <w:sz w:val="20"/>
                <w:szCs w:val="20"/>
              </w:rPr>
              <w:t xml:space="preserve">W przypadku, o którym mowa w ust. 1 pkt 7, nabywca ma prawo odstąpienia od umowy deweloperskiej, po dokonaniu przez bank zwrotu środków zgodnie z art. 10 ust. 3 Ustawy Deweloperskiej. </w:t>
            </w:r>
          </w:p>
          <w:p w14:paraId="2C2062EA" w14:textId="08640F22" w:rsidR="00D652EA" w:rsidRPr="00B371F5" w:rsidRDefault="00D652EA" w:rsidP="00D652EA">
            <w:pPr>
              <w:pStyle w:val="Akapitzlist"/>
              <w:numPr>
                <w:ilvl w:val="0"/>
                <w:numId w:val="37"/>
              </w:numPr>
              <w:spacing w:after="0"/>
              <w:jc w:val="both"/>
              <w:rPr>
                <w:rStyle w:val="Numerstrony"/>
                <w:rFonts w:eastAsiaTheme="majorEastAsia"/>
                <w:sz w:val="20"/>
                <w:szCs w:val="20"/>
              </w:rPr>
            </w:pPr>
            <w:r w:rsidRPr="00B371F5">
              <w:rPr>
                <w:rStyle w:val="Numerstrony"/>
                <w:rFonts w:eastAsiaTheme="majorEastAsia"/>
                <w:sz w:val="20"/>
                <w:szCs w:val="20"/>
              </w:rPr>
              <w:t xml:space="preserve">W przypadku, o którym mowa w ust. 1 pkt 8, nabywca ma prawo odstąpienia od umowy deweloperskiej, w terminie 60 dni od dnia jej zawarcia. </w:t>
            </w:r>
          </w:p>
          <w:p w14:paraId="717F6899" w14:textId="01A54520" w:rsidR="00D652EA" w:rsidRPr="00B371F5" w:rsidRDefault="00D652EA" w:rsidP="00D652EA">
            <w:pPr>
              <w:pStyle w:val="Akapitzlist"/>
              <w:numPr>
                <w:ilvl w:val="0"/>
                <w:numId w:val="37"/>
              </w:numPr>
              <w:spacing w:after="0"/>
              <w:jc w:val="both"/>
              <w:rPr>
                <w:sz w:val="20"/>
                <w:szCs w:val="20"/>
              </w:rPr>
            </w:pPr>
            <w:r w:rsidRPr="00B371F5">
              <w:rPr>
                <w:rStyle w:val="Numerstrony"/>
                <w:rFonts w:eastAsiaTheme="majorEastAsia"/>
                <w:sz w:val="20"/>
                <w:szCs w:val="20"/>
              </w:rPr>
              <w:t xml:space="preserve">W przypadku, o którym mowa w ust. 1 pkt 9, nabywca ma prawo odstąpienia od umowy deweloperskiej po upływie 60 dni od dnia podania do publicznej wiadomości informacji, o których mowa w art. 12 ust. 1 Ustawy Deweloperskiej. </w:t>
            </w:r>
          </w:p>
          <w:p w14:paraId="3FDC9B43" w14:textId="2B4D4B33" w:rsidR="00D652EA" w:rsidRPr="00B371F5" w:rsidRDefault="00D652EA" w:rsidP="00D652EA">
            <w:pPr>
              <w:pStyle w:val="Akapitzlist"/>
              <w:numPr>
                <w:ilvl w:val="0"/>
                <w:numId w:val="37"/>
              </w:numPr>
              <w:spacing w:after="0"/>
              <w:jc w:val="both"/>
              <w:rPr>
                <w:sz w:val="20"/>
                <w:szCs w:val="20"/>
              </w:rPr>
            </w:pPr>
            <w:r w:rsidRPr="00B371F5">
              <w:rPr>
                <w:bCs/>
                <w:sz w:val="20"/>
                <w:szCs w:val="20"/>
              </w:rPr>
              <w:t>Nabywca</w:t>
            </w:r>
            <w:r w:rsidRPr="00B371F5">
              <w:rPr>
                <w:sz w:val="20"/>
                <w:szCs w:val="20"/>
              </w:rPr>
              <w:t xml:space="preserve"> ma także prawo odstąpienia od Umowy Deweloperskiej:  </w:t>
            </w:r>
          </w:p>
          <w:p w14:paraId="0D3D1F8D" w14:textId="4F4AA5B0" w:rsidR="00D652EA" w:rsidRPr="00B371F5" w:rsidRDefault="00D652EA" w:rsidP="00D652EA">
            <w:pPr>
              <w:pStyle w:val="Akapitzlist"/>
              <w:numPr>
                <w:ilvl w:val="0"/>
                <w:numId w:val="13"/>
              </w:numPr>
              <w:spacing w:after="0"/>
              <w:ind w:left="411" w:hanging="411"/>
              <w:jc w:val="both"/>
              <w:rPr>
                <w:sz w:val="20"/>
                <w:szCs w:val="20"/>
              </w:rPr>
            </w:pPr>
            <w:r w:rsidRPr="00B371F5">
              <w:rPr>
                <w:sz w:val="20"/>
                <w:szCs w:val="20"/>
              </w:rPr>
              <w:lastRenderedPageBreak/>
              <w:t>w przypadku wzrostu Ceny Nabycia w związku ze zmianą stawki podatku od towarów i usług. W takim przypadku Nabywca może wykonać prawo odstąpienia w terminie 30 dni od dnia pisemnego zawiadomienia Nabywcy przez Dewelopera o wzroście Ceny Nabycia w związku ze zmianą stawki podatku od towarów i usług;</w:t>
            </w:r>
          </w:p>
          <w:p w14:paraId="7CF01F43" w14:textId="1E06215B" w:rsidR="00D652EA" w:rsidRPr="00B371F5" w:rsidRDefault="00D652EA" w:rsidP="00D652EA">
            <w:pPr>
              <w:pStyle w:val="Akapitzlist"/>
              <w:numPr>
                <w:ilvl w:val="0"/>
                <w:numId w:val="13"/>
              </w:numPr>
              <w:spacing w:after="0"/>
              <w:ind w:left="411"/>
              <w:jc w:val="both"/>
              <w:rPr>
                <w:sz w:val="20"/>
                <w:szCs w:val="20"/>
              </w:rPr>
            </w:pPr>
            <w:r w:rsidRPr="00301D45">
              <w:rPr>
                <w:sz w:val="20"/>
                <w:szCs w:val="20"/>
              </w:rPr>
              <w:t>w przypadku, gdy zmiana powierzchni użytkowej Lokalu, ustalonej w wyniku pomiaru powykonawczego dokonanego po wybudowaniu Lokalu, przekracza 2% w stosunku do projektowanej powierzchni użytkowej Lokalu, podanej w Umowie Deweloperskiej, Nabywca może wykonać prawo odstąpienia w terminie 30 dni od dnia pisemnego zawiadomienia Nabywcy przez Dewelopera o zmianie powierzchni użytkowej Lokalu. Powyższe uprawnienie do odstąpienia od Umowy Deweloperskiej nie obejmuje przypadku, gdy zmiana powierzchni użytkowej wynika z realizacji zleceń aranżacyjnych i zmian, o których mowa w Umowie Deweloperskiej</w:t>
            </w:r>
            <w:r w:rsidRPr="00B371F5">
              <w:rPr>
                <w:sz w:val="20"/>
                <w:szCs w:val="20"/>
              </w:rPr>
              <w:t xml:space="preserve">. </w:t>
            </w:r>
          </w:p>
          <w:p w14:paraId="22EC52A4" w14:textId="4588EC3B" w:rsidR="00D652EA" w:rsidRPr="00B371F5" w:rsidRDefault="00D652EA" w:rsidP="00D652EA">
            <w:pPr>
              <w:pStyle w:val="Akapitzlist"/>
              <w:numPr>
                <w:ilvl w:val="0"/>
                <w:numId w:val="37"/>
              </w:numPr>
              <w:spacing w:after="0"/>
              <w:jc w:val="both"/>
              <w:rPr>
                <w:sz w:val="20"/>
                <w:szCs w:val="20"/>
              </w:rPr>
            </w:pPr>
            <w:r w:rsidRPr="00B371F5">
              <w:rPr>
                <w:bCs/>
                <w:sz w:val="20"/>
                <w:szCs w:val="20"/>
              </w:rPr>
              <w:t>Deweloper</w:t>
            </w:r>
            <w:r w:rsidRPr="00B371F5">
              <w:rPr>
                <w:sz w:val="20"/>
                <w:szCs w:val="20"/>
              </w:rPr>
              <w:t xml:space="preserve"> ma prawo odstąpić od Umowy Deweloperskiej w przypadku niespełnienia przez Nabywcę świadczenia pieniężnego na poczet Ceny Nabycia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  </w:t>
            </w:r>
          </w:p>
          <w:p w14:paraId="5F2B1672" w14:textId="30DB5E70" w:rsidR="00D652EA" w:rsidRPr="00B371F5" w:rsidRDefault="00D652EA" w:rsidP="00D652EA">
            <w:pPr>
              <w:pStyle w:val="Akapitzlist"/>
              <w:numPr>
                <w:ilvl w:val="0"/>
                <w:numId w:val="37"/>
              </w:numPr>
              <w:spacing w:after="0"/>
              <w:jc w:val="both"/>
              <w:rPr>
                <w:sz w:val="20"/>
                <w:szCs w:val="20"/>
              </w:rPr>
            </w:pPr>
            <w:r w:rsidRPr="00B371F5">
              <w:rPr>
                <w:bCs/>
                <w:sz w:val="20"/>
                <w:szCs w:val="20"/>
              </w:rPr>
              <w:t>Deweloper</w:t>
            </w:r>
            <w:r w:rsidRPr="00B371F5">
              <w:rPr>
                <w:sz w:val="20"/>
                <w:szCs w:val="20"/>
              </w:rPr>
              <w:t xml:space="preserve"> ma prawo odstąpić od Umowy Deweloperskiej w przypadku niestawienia się Nabywcy do odbioru Lokalu lub podpisania aktu notarialnego Umowy Przeniesienia Własności, pomimo dwukrotnego doręczenia Nabywcy wezwania w formie pisemnej w odstępie co najmniej 60 dni, chyba że niestawienie się Nabywcy jest spowodowane działaniem siły wyższej. </w:t>
            </w:r>
          </w:p>
          <w:p w14:paraId="13090E73" w14:textId="5D88FF5F" w:rsidR="00D652EA" w:rsidRPr="00B371F5" w:rsidRDefault="00D652EA" w:rsidP="00D652EA">
            <w:pPr>
              <w:pStyle w:val="Akapitzlist"/>
              <w:numPr>
                <w:ilvl w:val="0"/>
                <w:numId w:val="37"/>
              </w:numPr>
              <w:spacing w:after="0"/>
              <w:jc w:val="both"/>
              <w:rPr>
                <w:sz w:val="20"/>
                <w:szCs w:val="20"/>
              </w:rPr>
            </w:pPr>
            <w:r w:rsidRPr="00B371F5">
              <w:rPr>
                <w:sz w:val="20"/>
                <w:szCs w:val="20"/>
              </w:rPr>
              <w:t xml:space="preserve">W przypadku skorzystania przez Nabywcę z prawa odstąpienia, o którym mowa wyżej w ust. 1 i ust. 7, Umowa Deweloperska uważana jest za niezawartą. Kwoty wpłacone przez Nabywcę w wykonaniu niniejszej Umowy Deweloperskiej podlegają zwrotowi na jego </w:t>
            </w:r>
            <w:r w:rsidRPr="00B371F5">
              <w:rPr>
                <w:rStyle w:val="Numerstrony"/>
                <w:rFonts w:eastAsiaTheme="majorEastAsia"/>
                <w:sz w:val="20"/>
                <w:szCs w:val="20"/>
              </w:rPr>
              <w:t>rzecz w wysokości nominalnej na zasadach opisanych w umowie deweloperskiej</w:t>
            </w:r>
            <w:r w:rsidRPr="00B371F5" w:rsidDel="001B0035">
              <w:rPr>
                <w:sz w:val="20"/>
                <w:szCs w:val="20"/>
              </w:rPr>
              <w:t xml:space="preserve"> </w:t>
            </w:r>
            <w:r w:rsidRPr="00B371F5">
              <w:rPr>
                <w:sz w:val="20"/>
                <w:szCs w:val="20"/>
              </w:rPr>
              <w:t xml:space="preserve">. </w:t>
            </w:r>
          </w:p>
          <w:p w14:paraId="5D7C0EFE" w14:textId="2CC70BA6" w:rsidR="00D652EA" w:rsidRPr="00B371F5" w:rsidRDefault="00D652EA" w:rsidP="00D652EA">
            <w:pPr>
              <w:pStyle w:val="Akapitzlist"/>
              <w:numPr>
                <w:ilvl w:val="0"/>
                <w:numId w:val="37"/>
              </w:numPr>
              <w:spacing w:after="0"/>
              <w:jc w:val="both"/>
              <w:rPr>
                <w:sz w:val="20"/>
                <w:szCs w:val="20"/>
              </w:rPr>
            </w:pPr>
            <w:r w:rsidRPr="00B371F5">
              <w:rPr>
                <w:sz w:val="20"/>
                <w:szCs w:val="20"/>
              </w:rPr>
              <w:t>Oświadczenie woli Nabywcy o odstąpieniu od Umowy Deweloperskiej jest skuteczne, jeżeli zawiera zgodę Nabywcy na wykreślenie z księgi wieczystej roszczenia o przeniesienie własności Lokalu, złożone w formie pisemnej z podpisami notarialnie poświadczonymi.</w:t>
            </w:r>
          </w:p>
          <w:p w14:paraId="7B580F78" w14:textId="77777777" w:rsidR="00D652EA" w:rsidRPr="00B371F5" w:rsidRDefault="00D652EA" w:rsidP="00D652EA">
            <w:pPr>
              <w:pStyle w:val="Akapitzlist"/>
              <w:numPr>
                <w:ilvl w:val="0"/>
                <w:numId w:val="37"/>
              </w:numPr>
              <w:spacing w:after="0"/>
              <w:jc w:val="both"/>
              <w:rPr>
                <w:sz w:val="20"/>
                <w:szCs w:val="20"/>
              </w:rPr>
            </w:pPr>
            <w:r w:rsidRPr="00B371F5">
              <w:rPr>
                <w:sz w:val="20"/>
                <w:szCs w:val="20"/>
              </w:rPr>
              <w:t xml:space="preserve">W razie odstąpienia od niniejszej Umowy Deweloperskiej przez Nabywcę z powodu niewykonania lub nienależytego wykonania zobowiązań przez Dewelopera wynikających z niniejszej Umowy Deweloperskiej, Deweloper zobowiązany będzie do zapłaty Nabywcy kary umownej w wysokości 3% Ceny Nabycia określonej w § 6 niniejszej Umowy Deweloperskiej. Kara umowna płatna będzie w terminie 30 dni od dnia odstąpienia przez Nabywcę od niniejszej Umowy Deweloperskiej oraz dostarczenia Deweloperowi pozostałych dokumentów, o których mowa wyżej w </w:t>
            </w:r>
            <w:r w:rsidRPr="00B371F5">
              <w:rPr>
                <w:rStyle w:val="Numerstrony"/>
                <w:rFonts w:eastAsiaTheme="majorEastAsia"/>
                <w:sz w:val="20"/>
                <w:szCs w:val="20"/>
              </w:rPr>
              <w:t>§ 9 niniejszej umowy deweloperskiej</w:t>
            </w:r>
            <w:r w:rsidRPr="00B371F5">
              <w:rPr>
                <w:sz w:val="20"/>
                <w:szCs w:val="20"/>
              </w:rPr>
              <w:t>.</w:t>
            </w:r>
          </w:p>
          <w:p w14:paraId="7C566FB1" w14:textId="63CFF73B" w:rsidR="00D652EA" w:rsidRPr="00B371F5" w:rsidRDefault="00D652EA" w:rsidP="00D652EA">
            <w:pPr>
              <w:pStyle w:val="Akapitzlist"/>
              <w:numPr>
                <w:ilvl w:val="0"/>
                <w:numId w:val="37"/>
              </w:numPr>
              <w:spacing w:after="0"/>
              <w:jc w:val="both"/>
              <w:rPr>
                <w:sz w:val="20"/>
                <w:szCs w:val="20"/>
              </w:rPr>
            </w:pPr>
            <w:r w:rsidRPr="00B371F5">
              <w:rPr>
                <w:sz w:val="20"/>
                <w:szCs w:val="20"/>
              </w:rPr>
              <w:t xml:space="preserve">W razie odstąpienia od niniejszej Umowy Deweloperskiej przez Dewelopera z powodu niewykonania lub nienależytego wykonania przez Nabywcę zobowiązań wynikających z niniejszej Umowy Deweloperskiej, Nabywca zobowiązany będzie do zapłaty Deweloperowi kary umownej w wysokości 3% Ceny </w:t>
            </w:r>
            <w:r w:rsidRPr="00B371F5">
              <w:rPr>
                <w:b/>
                <w:bCs/>
                <w:sz w:val="20"/>
                <w:szCs w:val="20"/>
              </w:rPr>
              <w:t>Nabycia</w:t>
            </w:r>
            <w:r w:rsidRPr="00B371F5">
              <w:rPr>
                <w:sz w:val="20"/>
                <w:szCs w:val="20"/>
              </w:rPr>
              <w:t xml:space="preserve"> określonej w Umowie Deweloperskiej.</w:t>
            </w:r>
          </w:p>
          <w:p w14:paraId="1B07D84F" w14:textId="3C4C7929" w:rsidR="00D652EA" w:rsidRPr="00B371F5" w:rsidRDefault="00D652EA" w:rsidP="00D652EA">
            <w:pPr>
              <w:pStyle w:val="Akapitzlist"/>
              <w:numPr>
                <w:ilvl w:val="0"/>
                <w:numId w:val="37"/>
              </w:numPr>
              <w:spacing w:after="0"/>
              <w:jc w:val="both"/>
              <w:rPr>
                <w:sz w:val="20"/>
                <w:szCs w:val="20"/>
              </w:rPr>
            </w:pPr>
            <w:r w:rsidRPr="00B371F5">
              <w:rPr>
                <w:sz w:val="20"/>
                <w:szCs w:val="20"/>
              </w:rPr>
              <w:t xml:space="preserve">W przypadku odstąpienia od Umowy Deweloperskiej przez Dewelopera na podstawie postanowień ust. 8 i/lub ust. 9 wyżej, Nabywca zobowiązany jest złożyć i doręczyć Deweloperowi w terminie 14 dni od dnia złożenia Nabywcy oświadczenia Dewelopera o odstąpieniu od Umowy Deweloperskiej - oświadczenie w formie pisemnej z podpisami notarialnie poświadczonymi - zawierające zgodę Nabywcy na wykreślenie z księgi wieczystej roszczenia o przeniesienie własności Lokalu z podpisem notarialnie poświadczonym oraz wskazanie numeru rachunku bankowego, na który ma nastąpić zwrot kwot należnych Nabywcy. W przypadku nieprzekazania Deweloperowi przez </w:t>
            </w:r>
            <w:r w:rsidRPr="00B371F5">
              <w:rPr>
                <w:sz w:val="20"/>
                <w:szCs w:val="20"/>
              </w:rPr>
              <w:lastRenderedPageBreak/>
              <w:t>Nabywcę w/w oświadczenia w zakreślonym powyżej terminie Deweloperowi przysługuje od Nabywcy kara umowna w wysokości 10 zł (dziesięć złotych) licząc za każdy dzień opóźnienia w przekazaniu przez Nabywcę w/w oświadczenia. -</w:t>
            </w:r>
          </w:p>
          <w:p w14:paraId="226A62A8" w14:textId="1701FDAF" w:rsidR="00D652EA" w:rsidRPr="00B371F5" w:rsidRDefault="00D652EA" w:rsidP="00D652EA">
            <w:pPr>
              <w:widowControl w:val="0"/>
              <w:tabs>
                <w:tab w:val="left" w:pos="1134"/>
              </w:tabs>
              <w:suppressAutoHyphens/>
              <w:spacing w:after="0" w:line="310" w:lineRule="atLeast"/>
              <w:ind w:right="125"/>
              <w:jc w:val="both"/>
              <w:rPr>
                <w:sz w:val="20"/>
                <w:szCs w:val="20"/>
              </w:rPr>
            </w:pPr>
            <w:r w:rsidRPr="00B371F5">
              <w:rPr>
                <w:sz w:val="20"/>
                <w:szCs w:val="20"/>
              </w:rPr>
              <w:t>Nabywca oświadcza, że wyraża zgodę na wykreślenie przez Dewelopera z działu III księgi wieczystej GD1G/00096581/8 roszczenia, które zostanie wpisane na ich rzecz na podstawie wniosku zawartego na podstawie niniejszego aktu notarialnego, w przypadku odstąpienia od umowy deweloperskiej przez którąkolwiek ze stron niniejszej umowy.</w:t>
            </w:r>
          </w:p>
        </w:tc>
      </w:tr>
      <w:tr w:rsidR="00D652EA" w:rsidRPr="00B371F5" w14:paraId="64A40B3B" w14:textId="77777777" w:rsidTr="00345502">
        <w:trPr>
          <w:trHeight w:val="45"/>
          <w:tblCellSpacing w:w="0" w:type="auto"/>
        </w:trPr>
        <w:tc>
          <w:tcPr>
            <w:tcW w:w="10490" w:type="dxa"/>
            <w:gridSpan w:val="4"/>
            <w:tcBorders>
              <w:bottom w:val="single" w:sz="8" w:space="0" w:color="000000"/>
              <w:right w:val="single" w:sz="8" w:space="0" w:color="000000"/>
            </w:tcBorders>
            <w:tcMar>
              <w:top w:w="15" w:type="dxa"/>
              <w:left w:w="15" w:type="dxa"/>
              <w:bottom w:w="15" w:type="dxa"/>
              <w:right w:w="15" w:type="dxa"/>
            </w:tcMar>
            <w:vAlign w:val="center"/>
          </w:tcPr>
          <w:p w14:paraId="49B248F8" w14:textId="77777777" w:rsidR="00D652EA" w:rsidRPr="00B371F5" w:rsidRDefault="00D652EA" w:rsidP="00D652EA">
            <w:pPr>
              <w:spacing w:after="0"/>
              <w:jc w:val="both"/>
              <w:rPr>
                <w:sz w:val="20"/>
                <w:szCs w:val="20"/>
              </w:rPr>
            </w:pPr>
            <w:r w:rsidRPr="00B371F5">
              <w:rPr>
                <w:b/>
                <w:color w:val="000000"/>
                <w:sz w:val="20"/>
                <w:szCs w:val="20"/>
              </w:rPr>
              <w:lastRenderedPageBreak/>
              <w:t>INNE INFORMACJE</w:t>
            </w:r>
          </w:p>
          <w:p w14:paraId="068244B5" w14:textId="12F988BD" w:rsidR="00D652EA" w:rsidRPr="00B371F5" w:rsidRDefault="00D652EA" w:rsidP="00D652EA">
            <w:pPr>
              <w:spacing w:before="25" w:after="0"/>
              <w:jc w:val="both"/>
              <w:rPr>
                <w:sz w:val="20"/>
                <w:szCs w:val="20"/>
              </w:rPr>
            </w:pPr>
            <w:r w:rsidRPr="00B371F5">
              <w:rPr>
                <w:sz w:val="20"/>
                <w:szCs w:val="20"/>
              </w:rPr>
              <w:t xml:space="preserve">Deweloper oświadcza, że aktualnie Przedsięwzięcie Deweloperskie jest finansowane bez udziału kredytu bankowego. Jednakże, Deweloper nie wyklucza w przyszłości finansowania realizacji Przedsięwzięcia Deweloperskiego za pomocą kredytu bankowego, w związku z czym Nieruchomość może zostać obciążona hipoteką ustanowioną na zabezpieczenie spłaty tego kredytu, w takim przypadku Deweloper zobowiązuje się uzyskać zgodę na </w:t>
            </w:r>
            <w:proofErr w:type="spellStart"/>
            <w:r w:rsidRPr="00B371F5">
              <w:rPr>
                <w:sz w:val="20"/>
                <w:szCs w:val="20"/>
              </w:rPr>
              <w:t>bezobciążeniowe</w:t>
            </w:r>
            <w:proofErr w:type="spellEnd"/>
            <w:r w:rsidRPr="00B371F5">
              <w:rPr>
                <w:sz w:val="20"/>
                <w:szCs w:val="20"/>
              </w:rPr>
              <w:t xml:space="preserve"> </w:t>
            </w:r>
            <w:proofErr w:type="spellStart"/>
            <w:r w:rsidRPr="00B371F5">
              <w:rPr>
                <w:sz w:val="20"/>
                <w:szCs w:val="20"/>
              </w:rPr>
              <w:t>bezciężarowe</w:t>
            </w:r>
            <w:proofErr w:type="spellEnd"/>
            <w:r w:rsidRPr="00B371F5">
              <w:rPr>
                <w:sz w:val="20"/>
                <w:szCs w:val="20"/>
              </w:rPr>
              <w:t xml:space="preserve"> wyodrębnianie lokali mieszkalnych zgodnie z art. 25 Ustawy Deweloperskiej  albo spłacić zobowiązanie hipoteczne w terminie do dnia zawarcia pierwszej Umowy Przeniesienia Własności w ramach Przedsięwzięcia Deweloperskiego i uzyskać stosowne dokumenty ten fakt potwierdzające oraz złożyć wniosek do właściwego Sądu Rejonowego Wydziału Ksiąg Wieczystych księgi wieczystej o wykreślenie tej hipoteki. Ponadto w takim wypadku Deweloper zobowiązuje się do niezwłocznego przedstawienia osobom zainteresowanym zawarciem umowy deweloperskiej, informacji o posiadaniu takiej zgody lub zobowiązania do jej udzielenia albo informację o braku takiej zgody lub takiego zobowiązania.</w:t>
            </w:r>
          </w:p>
          <w:p w14:paraId="253570BA" w14:textId="77777777" w:rsidR="00D652EA" w:rsidRPr="00B371F5" w:rsidRDefault="00D652EA" w:rsidP="00D652EA">
            <w:pPr>
              <w:spacing w:before="25" w:after="0"/>
              <w:jc w:val="both"/>
              <w:rPr>
                <w:color w:val="000000"/>
                <w:sz w:val="20"/>
                <w:szCs w:val="20"/>
              </w:rPr>
            </w:pPr>
          </w:p>
          <w:p w14:paraId="0F3ED358" w14:textId="1DA4C2D4" w:rsidR="00D652EA" w:rsidRPr="00B371F5" w:rsidRDefault="00D652EA" w:rsidP="00D652EA">
            <w:pPr>
              <w:jc w:val="both"/>
              <w:rPr>
                <w:sz w:val="20"/>
                <w:szCs w:val="20"/>
              </w:rPr>
            </w:pPr>
            <w:r w:rsidRPr="00B371F5">
              <w:rPr>
                <w:sz w:val="20"/>
                <w:szCs w:val="20"/>
              </w:rPr>
              <w:t>Deweloper informuje, że istnieje możliwość zapoznania się w siedzibie Dewelopera przez osobę zainteresowaną zawarciem umowy deweloperskiej</w:t>
            </w:r>
            <w:r w:rsidRPr="00B371F5">
              <w:rPr>
                <w:color w:val="000000"/>
                <w:sz w:val="20"/>
                <w:szCs w:val="20"/>
              </w:rPr>
              <w:t>:</w:t>
            </w:r>
          </w:p>
          <w:p w14:paraId="783E9F6C" w14:textId="77777777" w:rsidR="00D652EA" w:rsidRPr="00B371F5" w:rsidRDefault="00D652EA" w:rsidP="00D652EA">
            <w:pPr>
              <w:spacing w:before="25" w:after="0"/>
              <w:jc w:val="both"/>
              <w:rPr>
                <w:sz w:val="20"/>
                <w:szCs w:val="20"/>
              </w:rPr>
            </w:pPr>
            <w:r w:rsidRPr="00B371F5">
              <w:rPr>
                <w:color w:val="000000"/>
                <w:sz w:val="20"/>
                <w:szCs w:val="20"/>
              </w:rPr>
              <w:t>1) aktualnym stanem księgi wieczystej prowadzonej dla nieruchomości;</w:t>
            </w:r>
          </w:p>
          <w:p w14:paraId="1576E4E1" w14:textId="637C09BC" w:rsidR="00D652EA" w:rsidRPr="00B371F5" w:rsidRDefault="00D652EA" w:rsidP="00D652EA">
            <w:pPr>
              <w:spacing w:before="25" w:after="0"/>
              <w:jc w:val="both"/>
              <w:rPr>
                <w:sz w:val="20"/>
                <w:szCs w:val="20"/>
              </w:rPr>
            </w:pPr>
            <w:r w:rsidRPr="00B371F5">
              <w:rPr>
                <w:color w:val="000000"/>
                <w:sz w:val="20"/>
                <w:szCs w:val="20"/>
              </w:rPr>
              <w:t>2) aktualnym odpisem, wyciągiem, zaświadczeniem lub wydrukiem komputerowym z Centralnej Informacji Krajowego Rejestru Sądowego;</w:t>
            </w:r>
          </w:p>
          <w:p w14:paraId="0D373BEC" w14:textId="7F2CD0B8" w:rsidR="00D652EA" w:rsidRPr="00B371F5" w:rsidRDefault="00D652EA" w:rsidP="00D652EA">
            <w:pPr>
              <w:spacing w:before="25" w:after="0"/>
              <w:jc w:val="both"/>
              <w:rPr>
                <w:sz w:val="20"/>
                <w:szCs w:val="20"/>
              </w:rPr>
            </w:pPr>
            <w:r w:rsidRPr="00B371F5">
              <w:rPr>
                <w:color w:val="000000"/>
                <w:sz w:val="20"/>
                <w:szCs w:val="20"/>
              </w:rPr>
              <w:t>3) pozwoleniem na budowę;</w:t>
            </w:r>
          </w:p>
          <w:p w14:paraId="1B027858" w14:textId="77777777" w:rsidR="00D652EA" w:rsidRPr="00B371F5" w:rsidRDefault="00D652EA" w:rsidP="00D652EA">
            <w:pPr>
              <w:spacing w:before="25" w:after="0"/>
              <w:jc w:val="both"/>
              <w:rPr>
                <w:sz w:val="20"/>
                <w:szCs w:val="20"/>
              </w:rPr>
            </w:pPr>
            <w:r w:rsidRPr="00B371F5">
              <w:rPr>
                <w:color w:val="000000"/>
                <w:sz w:val="20"/>
                <w:szCs w:val="20"/>
              </w:rPr>
              <w:t>4) sprawozdaniem finansowym dewelopera za ostatnie dwa lata, a w przypadku:</w:t>
            </w:r>
          </w:p>
          <w:p w14:paraId="48CF96DE" w14:textId="77777777" w:rsidR="00D652EA" w:rsidRPr="00B371F5" w:rsidRDefault="00D652EA" w:rsidP="00D652EA">
            <w:pPr>
              <w:spacing w:before="25" w:after="0"/>
              <w:jc w:val="both"/>
              <w:rPr>
                <w:sz w:val="20"/>
                <w:szCs w:val="20"/>
              </w:rPr>
            </w:pPr>
            <w:r w:rsidRPr="00B371F5">
              <w:rPr>
                <w:color w:val="000000"/>
                <w:sz w:val="20"/>
                <w:szCs w:val="20"/>
              </w:rPr>
              <w:t>a) prowadzenia działalności przez okres krótszy niż dwa lata - sprawozdaniem finansowym za okres ostatniego roku,</w:t>
            </w:r>
          </w:p>
          <w:p w14:paraId="5EDBA6C0" w14:textId="77777777" w:rsidR="00D652EA" w:rsidRPr="00B371F5" w:rsidRDefault="00D652EA" w:rsidP="00D652EA">
            <w:pPr>
              <w:spacing w:before="25" w:after="0"/>
              <w:jc w:val="both"/>
              <w:rPr>
                <w:sz w:val="20"/>
                <w:szCs w:val="20"/>
              </w:rPr>
            </w:pPr>
            <w:r w:rsidRPr="00B371F5">
              <w:rPr>
                <w:color w:val="000000"/>
                <w:sz w:val="20"/>
                <w:szCs w:val="20"/>
              </w:rPr>
              <w:t>b) realizacji inwestycji przez spółkę celową - sprawozdaniem spółki dominującej oraz spółki celowej;</w:t>
            </w:r>
          </w:p>
          <w:p w14:paraId="0E6713E5" w14:textId="46F61338" w:rsidR="00D652EA" w:rsidRPr="00B371F5" w:rsidRDefault="00D652EA" w:rsidP="00D652EA">
            <w:pPr>
              <w:spacing w:before="25" w:after="0"/>
              <w:jc w:val="both"/>
              <w:rPr>
                <w:color w:val="000000"/>
                <w:sz w:val="20"/>
                <w:szCs w:val="20"/>
              </w:rPr>
            </w:pPr>
            <w:r w:rsidRPr="00B371F5">
              <w:rPr>
                <w:color w:val="000000"/>
                <w:sz w:val="20"/>
                <w:szCs w:val="20"/>
              </w:rPr>
              <w:t>5) projektem budowlanym;</w:t>
            </w:r>
          </w:p>
          <w:p w14:paraId="562500FF" w14:textId="5515BCFC" w:rsidR="00D652EA" w:rsidRPr="00B371F5" w:rsidRDefault="00D652EA" w:rsidP="00D652EA">
            <w:pPr>
              <w:jc w:val="both"/>
              <w:rPr>
                <w:sz w:val="20"/>
                <w:szCs w:val="20"/>
              </w:rPr>
            </w:pPr>
            <w:r w:rsidRPr="00301D45">
              <w:rPr>
                <w:sz w:val="20"/>
                <w:szCs w:val="20"/>
              </w:rPr>
              <w:t>Powierzchnia użytkowa lokalu zostanie ustalona ostatecznie na podstawie pomiarów powykonawczych zgodnie z normą PN-ISO 9836:2022-07, z uwzględnieniem przepisów dotyczących zaliczania do tej powierzchni pomieszczeń przynależnych zależnie od ich wysokości zgodnie z ustawą o podatkach i opłatach lokalnych z dnia z dnia 12 stycznia 1991 r. ze zmianami</w:t>
            </w:r>
          </w:p>
        </w:tc>
      </w:tr>
      <w:tr w:rsidR="00D652EA" w:rsidRPr="00B371F5" w14:paraId="2625D108" w14:textId="77777777" w:rsidTr="00345502">
        <w:trPr>
          <w:trHeight w:val="45"/>
          <w:tblCellSpacing w:w="0" w:type="auto"/>
        </w:trPr>
        <w:tc>
          <w:tcPr>
            <w:tcW w:w="10490" w:type="dxa"/>
            <w:gridSpan w:val="4"/>
            <w:tcBorders>
              <w:bottom w:val="single" w:sz="8" w:space="0" w:color="000000"/>
              <w:right w:val="single" w:sz="8" w:space="0" w:color="000000"/>
            </w:tcBorders>
            <w:tcMar>
              <w:top w:w="15" w:type="dxa"/>
              <w:left w:w="15" w:type="dxa"/>
              <w:bottom w:w="15" w:type="dxa"/>
              <w:right w:w="15" w:type="dxa"/>
            </w:tcMar>
            <w:vAlign w:val="center"/>
          </w:tcPr>
          <w:p w14:paraId="044FB30D" w14:textId="38B7AC0F" w:rsidR="00D652EA" w:rsidRPr="00B371F5" w:rsidRDefault="00D652EA" w:rsidP="00D652EA">
            <w:pPr>
              <w:spacing w:after="0"/>
              <w:jc w:val="both"/>
              <w:rPr>
                <w:sz w:val="20"/>
                <w:szCs w:val="20"/>
              </w:rPr>
            </w:pPr>
            <w:r w:rsidRPr="00B371F5">
              <w:rPr>
                <w:color w:val="000000"/>
                <w:sz w:val="20"/>
                <w:szCs w:val="20"/>
              </w:rPr>
              <w:t>Informacja:</w:t>
            </w:r>
          </w:p>
          <w:p w14:paraId="00949A52" w14:textId="70ECECC2" w:rsidR="00D652EA" w:rsidRPr="00B371F5" w:rsidRDefault="00D652EA" w:rsidP="00D652EA">
            <w:pPr>
              <w:spacing w:before="25" w:after="0"/>
              <w:jc w:val="both"/>
              <w:rPr>
                <w:sz w:val="20"/>
                <w:szCs w:val="20"/>
              </w:rPr>
            </w:pPr>
            <w:r w:rsidRPr="00B371F5">
              <w:rPr>
                <w:color w:val="000000"/>
                <w:sz w:val="20"/>
                <w:szCs w:val="20"/>
              </w:rPr>
              <w:t xml:space="preserve">Środki pieniężne zgromadzone w </w:t>
            </w:r>
            <w:r w:rsidRPr="00B371F5">
              <w:rPr>
                <w:sz w:val="20"/>
                <w:szCs w:val="20"/>
              </w:rPr>
              <w:t>Powszechnej Kasie Oszczędności Bank Polski Spółka Akcyjna</w:t>
            </w:r>
            <w:r w:rsidRPr="00B371F5">
              <w:rPr>
                <w:color w:val="000000"/>
                <w:sz w:val="20"/>
                <w:szCs w:val="20"/>
              </w:rPr>
              <w:t xml:space="preserve">, prowadzącym otwarty mieszkaniowy rachunek powierniczy są objęte ochroną obowiązkowego systemu gwarantowania depozytów, na zasadach określonych w </w:t>
            </w:r>
            <w:r w:rsidRPr="00B371F5">
              <w:rPr>
                <w:color w:val="1B1B1B"/>
                <w:sz w:val="20"/>
                <w:szCs w:val="20"/>
              </w:rPr>
              <w:t>ustawie</w:t>
            </w:r>
            <w:r w:rsidRPr="00B371F5">
              <w:rPr>
                <w:color w:val="000000"/>
                <w:sz w:val="20"/>
                <w:szCs w:val="20"/>
              </w:rPr>
              <w:t xml:space="preserve"> z dnia 10 czerwca 2016 r. o Bankowym Funduszu Gwarancyjnym, systemie gwarantowania depozytów oraz przymusowej restrukturyzacji (Dz. U. z 2022 r. poz. 2253 oraz z 2023 r. poz. 825).</w:t>
            </w:r>
          </w:p>
          <w:p w14:paraId="5FF0EFCA" w14:textId="77777777" w:rsidR="00D652EA" w:rsidRPr="00B371F5" w:rsidRDefault="00D652EA" w:rsidP="00D652EA">
            <w:pPr>
              <w:spacing w:before="25" w:after="0"/>
              <w:jc w:val="both"/>
              <w:rPr>
                <w:sz w:val="20"/>
                <w:szCs w:val="20"/>
              </w:rPr>
            </w:pPr>
            <w:r w:rsidRPr="00B371F5">
              <w:rPr>
                <w:color w:val="000000"/>
                <w:sz w:val="20"/>
                <w:szCs w:val="20"/>
              </w:rPr>
              <w:t>Informacje podstawowe o obowiązkowym systemie gwarantowania depozytów:</w:t>
            </w:r>
          </w:p>
          <w:p w14:paraId="392BF479" w14:textId="64A568F0" w:rsidR="00D652EA" w:rsidRPr="00B371F5" w:rsidRDefault="00D652EA" w:rsidP="00D652EA">
            <w:pPr>
              <w:spacing w:before="25" w:after="0"/>
              <w:jc w:val="both"/>
              <w:rPr>
                <w:sz w:val="20"/>
                <w:szCs w:val="20"/>
              </w:rPr>
            </w:pPr>
            <w:r w:rsidRPr="00B371F5">
              <w:rPr>
                <w:color w:val="000000"/>
                <w:sz w:val="20"/>
                <w:szCs w:val="20"/>
              </w:rPr>
              <w:t xml:space="preserve">- ochrona środków dotyczy sytuacji spełnienia warunku gwarancji wobec </w:t>
            </w:r>
            <w:r w:rsidRPr="00B371F5">
              <w:rPr>
                <w:sz w:val="20"/>
                <w:szCs w:val="20"/>
              </w:rPr>
              <w:t>Powszechnej Kasie Oszczędności Bank Polski Spółka Akcyjna,</w:t>
            </w:r>
          </w:p>
          <w:p w14:paraId="664E8DF6" w14:textId="11B6B4E1" w:rsidR="00D652EA" w:rsidRPr="00B371F5" w:rsidRDefault="00D652EA" w:rsidP="00D652EA">
            <w:pPr>
              <w:spacing w:before="25" w:after="0"/>
              <w:jc w:val="both"/>
              <w:rPr>
                <w:sz w:val="20"/>
                <w:szCs w:val="20"/>
              </w:rPr>
            </w:pPr>
            <w:r w:rsidRPr="00B371F5">
              <w:rPr>
                <w:color w:val="000000"/>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6EA9058F" w14:textId="77777777" w:rsidR="00D652EA" w:rsidRPr="00B371F5" w:rsidRDefault="00D652EA" w:rsidP="00D652EA">
            <w:pPr>
              <w:spacing w:before="25" w:after="0"/>
              <w:jc w:val="both"/>
              <w:rPr>
                <w:sz w:val="20"/>
                <w:szCs w:val="20"/>
              </w:rPr>
            </w:pPr>
            <w:r w:rsidRPr="00B371F5">
              <w:rPr>
                <w:color w:val="000000"/>
                <w:sz w:val="20"/>
                <w:szCs w:val="20"/>
              </w:rPr>
              <w:t xml:space="preserve">- limit gwarancyjny przypadający na jednego deponenta to równowartość w złotych 100 000 euro; w przypadkach określonych w </w:t>
            </w:r>
            <w:r w:rsidRPr="00B371F5">
              <w:rPr>
                <w:color w:val="1B1B1B"/>
                <w:sz w:val="20"/>
                <w:szCs w:val="20"/>
              </w:rPr>
              <w:t>art. 24 ust. 3</w:t>
            </w:r>
            <w:r w:rsidRPr="00B371F5">
              <w:rPr>
                <w:color w:val="000000"/>
                <w:sz w:val="20"/>
                <w:szCs w:val="20"/>
              </w:rPr>
              <w:t xml:space="preserve"> i </w:t>
            </w:r>
            <w:r w:rsidRPr="00B371F5">
              <w:rPr>
                <w:color w:val="1B1B1B"/>
                <w:sz w:val="20"/>
                <w:szCs w:val="20"/>
              </w:rPr>
              <w:t>4</w:t>
            </w:r>
            <w:r w:rsidRPr="00B371F5">
              <w:rPr>
                <w:color w:val="000000"/>
                <w:sz w:val="20"/>
                <w:szCs w:val="20"/>
              </w:rPr>
              <w:t xml:space="preserve"> ustawy z dnia 10 czerwca 2016 r. o Bankowym Funduszu Gwarancyjnym, systemie gwarantowania depozytów oraz przymusowej restrukturyzacji, środki deponenta, w terminie 3 miesięcy od dnia ich wpływu na rachunek, są objęte gwarancjami ponad równowartość w złotych 100 000 euro,</w:t>
            </w:r>
          </w:p>
          <w:p w14:paraId="65472E11" w14:textId="77777777" w:rsidR="00D652EA" w:rsidRPr="00B371F5" w:rsidRDefault="00D652EA" w:rsidP="00D652EA">
            <w:pPr>
              <w:spacing w:before="25" w:after="0"/>
              <w:jc w:val="both"/>
              <w:rPr>
                <w:sz w:val="20"/>
                <w:szCs w:val="20"/>
              </w:rPr>
            </w:pPr>
            <w:r w:rsidRPr="00B371F5">
              <w:rPr>
                <w:color w:val="000000"/>
                <w:sz w:val="20"/>
                <w:szCs w:val="20"/>
              </w:rPr>
              <w:lastRenderedPageBreak/>
              <w:t>-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76BF2A66" w14:textId="77777777" w:rsidR="00D652EA" w:rsidRPr="00B371F5" w:rsidRDefault="00D652EA" w:rsidP="00D652EA">
            <w:pPr>
              <w:spacing w:before="25" w:after="0"/>
              <w:jc w:val="both"/>
              <w:rPr>
                <w:sz w:val="20"/>
                <w:szCs w:val="20"/>
              </w:rPr>
            </w:pPr>
            <w:r w:rsidRPr="00B371F5">
              <w:rPr>
                <w:color w:val="000000"/>
                <w:sz w:val="20"/>
                <w:szCs w:val="20"/>
              </w:rPr>
              <w:t>- wypłata środków gwarantowanych - co do zasady - następuje w terminie 7 dni roboczych od dnia spełnienia warunku gwarancji wobec banku,</w:t>
            </w:r>
          </w:p>
          <w:p w14:paraId="1ECA7E4C" w14:textId="77777777" w:rsidR="00D652EA" w:rsidRPr="00B371F5" w:rsidRDefault="00D652EA" w:rsidP="00D652EA">
            <w:pPr>
              <w:spacing w:before="25" w:after="0"/>
              <w:jc w:val="both"/>
              <w:rPr>
                <w:sz w:val="20"/>
                <w:szCs w:val="20"/>
              </w:rPr>
            </w:pPr>
            <w:r w:rsidRPr="00B371F5">
              <w:rPr>
                <w:color w:val="000000"/>
                <w:sz w:val="20"/>
                <w:szCs w:val="20"/>
              </w:rPr>
              <w:t>- wypłata środków gwarantowanych jest dokonywana w złotych,</w:t>
            </w:r>
          </w:p>
          <w:p w14:paraId="595BEB2C" w14:textId="57096126" w:rsidR="00D652EA" w:rsidRPr="00B371F5" w:rsidRDefault="00D652EA" w:rsidP="00D652EA">
            <w:pPr>
              <w:spacing w:before="25" w:after="0"/>
              <w:jc w:val="both"/>
              <w:rPr>
                <w:sz w:val="20"/>
                <w:szCs w:val="20"/>
              </w:rPr>
            </w:pPr>
            <w:r w:rsidRPr="00B371F5">
              <w:rPr>
                <w:color w:val="000000"/>
                <w:sz w:val="20"/>
                <w:szCs w:val="20"/>
              </w:rPr>
              <w:t xml:space="preserve">- </w:t>
            </w:r>
            <w:r w:rsidRPr="00B371F5">
              <w:rPr>
                <w:sz w:val="20"/>
                <w:szCs w:val="20"/>
              </w:rPr>
              <w:t xml:space="preserve">Powszechna Kasa Oszczędności Bank Polski Spółka Akcyjna </w:t>
            </w:r>
            <w:r w:rsidRPr="00B371F5">
              <w:rPr>
                <w:color w:val="000000"/>
                <w:sz w:val="20"/>
                <w:szCs w:val="20"/>
              </w:rPr>
              <w:t>korzysta także z następujących znaków towarowych: Inteligo;  PKO Bank Polski</w:t>
            </w:r>
          </w:p>
          <w:p w14:paraId="3659CE5A" w14:textId="77777777" w:rsidR="00D652EA" w:rsidRPr="00B371F5" w:rsidRDefault="00D652EA" w:rsidP="00D652EA">
            <w:pPr>
              <w:spacing w:before="25" w:after="0"/>
              <w:jc w:val="both"/>
              <w:rPr>
                <w:sz w:val="20"/>
                <w:szCs w:val="20"/>
              </w:rPr>
            </w:pPr>
            <w:r w:rsidRPr="00B371F5">
              <w:rPr>
                <w:color w:val="000000"/>
                <w:sz w:val="20"/>
                <w:szCs w:val="20"/>
              </w:rPr>
              <w:t xml:space="preserve">Dalsze informacje na temat systemu gwarantowania depozytów można uzyskać na stronie internetowej Bankowego Funduszu Gwarancyjnego: </w:t>
            </w:r>
            <w:r w:rsidRPr="00B371F5">
              <w:rPr>
                <w:color w:val="1B1B1B"/>
                <w:sz w:val="20"/>
                <w:szCs w:val="20"/>
              </w:rPr>
              <w:t>https://www.bfg.pl/</w:t>
            </w:r>
            <w:r w:rsidRPr="00B371F5">
              <w:rPr>
                <w:color w:val="000000"/>
                <w:sz w:val="20"/>
                <w:szCs w:val="20"/>
              </w:rPr>
              <w:t>.</w:t>
            </w:r>
          </w:p>
          <w:p w14:paraId="2E4E2498" w14:textId="77777777" w:rsidR="00D652EA" w:rsidRPr="00B371F5" w:rsidRDefault="00D652EA" w:rsidP="00D652EA">
            <w:pPr>
              <w:spacing w:before="25" w:after="0"/>
              <w:jc w:val="both"/>
              <w:rPr>
                <w:sz w:val="20"/>
                <w:szCs w:val="20"/>
              </w:rPr>
            </w:pPr>
            <w:r w:rsidRPr="00B371F5">
              <w:rPr>
                <w:color w:val="000000"/>
                <w:sz w:val="20"/>
                <w:szCs w:val="20"/>
              </w:rPr>
              <w:t xml:space="preserve">Informacja zamieszczana w przypadku zawarcia umowy mieszkaniowego rachunku powierniczego z oddziałem instytucji kredytowej w rozumieniu </w:t>
            </w:r>
            <w:r w:rsidRPr="00B371F5">
              <w:rPr>
                <w:color w:val="1B1B1B"/>
                <w:sz w:val="20"/>
                <w:szCs w:val="20"/>
              </w:rPr>
              <w:t>art. 4 ust. 1 pkt 18</w:t>
            </w:r>
            <w:r w:rsidRPr="00B371F5">
              <w:rPr>
                <w:color w:val="000000"/>
                <w:sz w:val="20"/>
                <w:szCs w:val="20"/>
              </w:rPr>
              <w:t xml:space="preserve"> ustawy z dnia 29 sierpnia 1997 r. - Prawo bankowe (Dz. </w:t>
            </w:r>
            <w:proofErr w:type="spellStart"/>
            <w:r w:rsidRPr="00B371F5">
              <w:rPr>
                <w:color w:val="000000"/>
                <w:sz w:val="20"/>
                <w:szCs w:val="20"/>
              </w:rPr>
              <w:t>U.z</w:t>
            </w:r>
            <w:proofErr w:type="spellEnd"/>
            <w:r w:rsidRPr="00B371F5">
              <w:rPr>
                <w:color w:val="000000"/>
                <w:sz w:val="20"/>
                <w:szCs w:val="20"/>
              </w:rPr>
              <w:t xml:space="preserve"> 2022 r. poz. 2324, z </w:t>
            </w:r>
            <w:proofErr w:type="spellStart"/>
            <w:r w:rsidRPr="00B371F5">
              <w:rPr>
                <w:color w:val="000000"/>
                <w:sz w:val="20"/>
                <w:szCs w:val="20"/>
              </w:rPr>
              <w:t>późn</w:t>
            </w:r>
            <w:proofErr w:type="spellEnd"/>
            <w:r w:rsidRPr="00B371F5">
              <w:rPr>
                <w:color w:val="000000"/>
                <w:sz w:val="20"/>
                <w:szCs w:val="20"/>
              </w:rPr>
              <w:t>. zm.).</w:t>
            </w:r>
          </w:p>
          <w:p w14:paraId="06DEA327" w14:textId="77777777" w:rsidR="00D652EA" w:rsidRPr="00B371F5" w:rsidRDefault="00D652EA" w:rsidP="00D652EA">
            <w:pPr>
              <w:spacing w:before="25" w:after="0"/>
              <w:jc w:val="both"/>
              <w:rPr>
                <w:sz w:val="20"/>
                <w:szCs w:val="20"/>
              </w:rPr>
            </w:pPr>
            <w:r w:rsidRPr="00B371F5">
              <w:rPr>
                <w:color w:val="000000"/>
                <w:sz w:val="20"/>
                <w:szCs w:val="20"/>
              </w:rPr>
              <w:t xml:space="preserve">Oddział instytucji kredytowej, w rozumieniu </w:t>
            </w:r>
            <w:r w:rsidRPr="00B371F5">
              <w:rPr>
                <w:color w:val="1B1B1B"/>
                <w:sz w:val="20"/>
                <w:szCs w:val="20"/>
              </w:rPr>
              <w:t>art. 4 ust. 1 pkt 18</w:t>
            </w:r>
            <w:r w:rsidRPr="00B371F5">
              <w:rPr>
                <w:color w:val="000000"/>
                <w:sz w:val="20"/>
                <w:szCs w:val="20"/>
              </w:rPr>
              <w:t xml:space="preserve"> ustawy z dnia 29 sierpnia 1997 r. - Prawo bankowe, jest objęty systemem gwarantowania państwa macierzystego, co oznacza, że nie mają do niego zastosowania przepisy </w:t>
            </w:r>
            <w:r w:rsidRPr="00B371F5">
              <w:rPr>
                <w:color w:val="1B1B1B"/>
                <w:sz w:val="20"/>
                <w:szCs w:val="20"/>
              </w:rPr>
              <w:t>ustawy</w:t>
            </w:r>
            <w:r w:rsidRPr="00B371F5">
              <w:rPr>
                <w:color w:val="000000"/>
                <w:sz w:val="20"/>
                <w:szCs w:val="20"/>
              </w:rPr>
              <w:t xml:space="preserve"> z dnia 10 czerwca 2016 r. o Bankowym Funduszu Gwarancyjnym, systemie gwarantowania depozytów oraz przymusowej restrukturyzacji.</w:t>
            </w:r>
          </w:p>
        </w:tc>
      </w:tr>
    </w:tbl>
    <w:p w14:paraId="13D0ECC9" w14:textId="77777777" w:rsidR="004151A2" w:rsidRPr="00B371F5" w:rsidRDefault="001E5696">
      <w:pPr>
        <w:spacing w:before="25" w:after="0"/>
        <w:jc w:val="both"/>
        <w:rPr>
          <w:sz w:val="20"/>
          <w:szCs w:val="20"/>
        </w:rPr>
      </w:pPr>
      <w:r w:rsidRPr="00B371F5">
        <w:rPr>
          <w:color w:val="000000"/>
          <w:sz w:val="20"/>
          <w:szCs w:val="20"/>
          <w:vertAlign w:val="superscript"/>
        </w:rPr>
        <w:lastRenderedPageBreak/>
        <w:t>1)</w:t>
      </w:r>
      <w:r w:rsidRPr="00B371F5">
        <w:rPr>
          <w:color w:val="000000"/>
          <w:sz w:val="20"/>
          <w:szCs w:val="20"/>
        </w:rPr>
        <w:t xml:space="preserve"> Jeżeli działka nie posiada adresu, należy opisowo określić jej położenie.</w:t>
      </w:r>
    </w:p>
    <w:p w14:paraId="51189C6E" w14:textId="77777777" w:rsidR="004151A2" w:rsidRPr="00B371F5" w:rsidRDefault="001E5696">
      <w:pPr>
        <w:spacing w:before="25" w:after="0"/>
        <w:jc w:val="both"/>
        <w:rPr>
          <w:sz w:val="20"/>
          <w:szCs w:val="20"/>
        </w:rPr>
      </w:pPr>
      <w:r w:rsidRPr="00B371F5">
        <w:rPr>
          <w:color w:val="000000"/>
          <w:sz w:val="20"/>
          <w:szCs w:val="20"/>
          <w:vertAlign w:val="superscript"/>
        </w:rPr>
        <w:t>2)</w:t>
      </w:r>
      <w:r w:rsidRPr="00B371F5">
        <w:rPr>
          <w:color w:val="000000"/>
          <w:sz w:val="20"/>
          <w:szCs w:val="20"/>
        </w:rPr>
        <w:t xml:space="preserve"> W szczególności imię i nazwisko albo firma właściciela lub użytkownika wieczystego oraz istniejące obciążenia na nieruchomości.</w:t>
      </w:r>
    </w:p>
    <w:p w14:paraId="383617C1" w14:textId="77777777" w:rsidR="004151A2" w:rsidRPr="00B371F5" w:rsidRDefault="001E5696">
      <w:pPr>
        <w:spacing w:before="25" w:after="0"/>
        <w:jc w:val="both"/>
        <w:rPr>
          <w:sz w:val="20"/>
          <w:szCs w:val="20"/>
        </w:rPr>
      </w:pPr>
      <w:r w:rsidRPr="00B371F5">
        <w:rPr>
          <w:color w:val="000000"/>
          <w:sz w:val="20"/>
          <w:szCs w:val="20"/>
          <w:vertAlign w:val="superscript"/>
        </w:rPr>
        <w:t>3)</w:t>
      </w:r>
      <w:r w:rsidRPr="00B371F5">
        <w:rPr>
          <w:color w:val="000000"/>
          <w:sz w:val="20"/>
          <w:szCs w:val="20"/>
        </w:rPr>
        <w:t xml:space="preserve"> W szczególności obiekty generujące uciążliwości zapachowe, hałasowe, świetlne.</w:t>
      </w:r>
    </w:p>
    <w:p w14:paraId="0E3A2141" w14:textId="77777777" w:rsidR="004151A2" w:rsidRPr="00B371F5" w:rsidRDefault="001E5696">
      <w:pPr>
        <w:spacing w:before="25" w:after="0"/>
        <w:jc w:val="both"/>
        <w:rPr>
          <w:sz w:val="20"/>
          <w:szCs w:val="20"/>
        </w:rPr>
      </w:pPr>
      <w:r w:rsidRPr="00B371F5">
        <w:rPr>
          <w:color w:val="000000"/>
          <w:sz w:val="20"/>
          <w:szCs w:val="20"/>
          <w:vertAlign w:val="superscript"/>
        </w:rPr>
        <w:t>4)</w:t>
      </w:r>
      <w:r w:rsidRPr="00B371F5">
        <w:rPr>
          <w:color w:val="000000"/>
          <w:sz w:val="20"/>
          <w:szCs w:val="20"/>
        </w:rPr>
        <w:t xml:space="preserve"> Akty prawne (rozporządzenia, zarządzenia, uchwały) w sprawach</w:t>
      </w:r>
      <w:r w:rsidRPr="00B371F5">
        <w:rPr>
          <w:b/>
          <w:color w:val="000000"/>
          <w:sz w:val="20"/>
          <w:szCs w:val="20"/>
        </w:rPr>
        <w:t>:</w:t>
      </w:r>
    </w:p>
    <w:p w14:paraId="671A81CB" w14:textId="77777777" w:rsidR="004151A2" w:rsidRPr="00B371F5" w:rsidRDefault="001E5696">
      <w:pPr>
        <w:spacing w:before="25" w:after="0"/>
        <w:jc w:val="both"/>
        <w:rPr>
          <w:sz w:val="20"/>
          <w:szCs w:val="20"/>
        </w:rPr>
      </w:pPr>
      <w:r w:rsidRPr="00B371F5">
        <w:rPr>
          <w:color w:val="000000"/>
          <w:sz w:val="20"/>
          <w:szCs w:val="20"/>
        </w:rPr>
        <w:t>1) dotyczących Inwestycji, Inwestycji Towarzyszących oraz obszaru otoczenia CPK,</w:t>
      </w:r>
    </w:p>
    <w:p w14:paraId="7EF23803" w14:textId="77777777" w:rsidR="004151A2" w:rsidRPr="00B371F5" w:rsidRDefault="001E5696">
      <w:pPr>
        <w:spacing w:before="25" w:after="0"/>
        <w:jc w:val="both"/>
        <w:rPr>
          <w:sz w:val="20"/>
          <w:szCs w:val="20"/>
        </w:rPr>
      </w:pPr>
      <w:r w:rsidRPr="00B371F5">
        <w:rPr>
          <w:color w:val="000000"/>
          <w:sz w:val="20"/>
          <w:szCs w:val="20"/>
        </w:rPr>
        <w:t>2) lokalizacji inwestycji mieszkaniowej lub inwestycji towarzyszącej,</w:t>
      </w:r>
    </w:p>
    <w:p w14:paraId="2D5BC12E" w14:textId="77777777" w:rsidR="004151A2" w:rsidRPr="00B371F5" w:rsidRDefault="001E5696">
      <w:pPr>
        <w:spacing w:before="25" w:after="0"/>
        <w:jc w:val="both"/>
        <w:rPr>
          <w:sz w:val="20"/>
          <w:szCs w:val="20"/>
        </w:rPr>
      </w:pPr>
      <w:r w:rsidRPr="00B371F5">
        <w:rPr>
          <w:color w:val="000000"/>
          <w:sz w:val="20"/>
          <w:szCs w:val="20"/>
        </w:rPr>
        <w:t>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340EBF61" w14:textId="77777777" w:rsidR="004151A2" w:rsidRPr="00B371F5" w:rsidRDefault="001E5696">
      <w:pPr>
        <w:spacing w:before="25" w:after="0"/>
        <w:jc w:val="both"/>
        <w:rPr>
          <w:sz w:val="20"/>
          <w:szCs w:val="20"/>
        </w:rPr>
      </w:pPr>
      <w:r w:rsidRPr="00B371F5">
        <w:rPr>
          <w:color w:val="000000"/>
          <w:sz w:val="20"/>
          <w:szCs w:val="20"/>
        </w:rPr>
        <w:t>4) ustanowienia strefy ochronnej terenu ochrony bezpośredniej i terenu ochrony pośredniej ujęcia wody,</w:t>
      </w:r>
    </w:p>
    <w:p w14:paraId="34D0B286" w14:textId="77777777" w:rsidR="004151A2" w:rsidRPr="00B371F5" w:rsidRDefault="001E5696">
      <w:pPr>
        <w:spacing w:before="25" w:after="0"/>
        <w:jc w:val="both"/>
        <w:rPr>
          <w:sz w:val="20"/>
          <w:szCs w:val="20"/>
        </w:rPr>
      </w:pPr>
      <w:r w:rsidRPr="00B371F5">
        <w:rPr>
          <w:color w:val="000000"/>
          <w:sz w:val="20"/>
          <w:szCs w:val="20"/>
        </w:rPr>
        <w:t>5) wyznaczenia obszarów cichych w aglomeracji lub obszarów cichych poza aglomeracją,</w:t>
      </w:r>
    </w:p>
    <w:p w14:paraId="455D80B1" w14:textId="77777777" w:rsidR="004151A2" w:rsidRPr="00B371F5" w:rsidRDefault="001E5696">
      <w:pPr>
        <w:spacing w:before="25" w:after="0"/>
        <w:jc w:val="both"/>
        <w:rPr>
          <w:sz w:val="20"/>
          <w:szCs w:val="20"/>
        </w:rPr>
      </w:pPr>
      <w:r w:rsidRPr="00B371F5">
        <w:rPr>
          <w:color w:val="000000"/>
          <w:sz w:val="20"/>
          <w:szCs w:val="20"/>
        </w:rPr>
        <w:t>6) utworzenia obszaru ograniczonego użytkowania,</w:t>
      </w:r>
    </w:p>
    <w:p w14:paraId="2F1EE11D" w14:textId="77777777" w:rsidR="004151A2" w:rsidRPr="00B371F5" w:rsidRDefault="001E5696">
      <w:pPr>
        <w:spacing w:before="25" w:after="0"/>
        <w:jc w:val="both"/>
        <w:rPr>
          <w:sz w:val="20"/>
          <w:szCs w:val="20"/>
        </w:rPr>
      </w:pPr>
      <w:r w:rsidRPr="00B371F5">
        <w:rPr>
          <w:color w:val="000000"/>
          <w:sz w:val="20"/>
          <w:szCs w:val="20"/>
        </w:rPr>
        <w:t>7) uznania zabytku za pomnik historii,</w:t>
      </w:r>
    </w:p>
    <w:p w14:paraId="4EAEF511" w14:textId="77777777" w:rsidR="004151A2" w:rsidRPr="00B371F5" w:rsidRDefault="001E5696">
      <w:pPr>
        <w:spacing w:before="25" w:after="0"/>
        <w:jc w:val="both"/>
        <w:rPr>
          <w:sz w:val="20"/>
          <w:szCs w:val="20"/>
        </w:rPr>
      </w:pPr>
      <w:r w:rsidRPr="00B371F5">
        <w:rPr>
          <w:color w:val="000000"/>
          <w:sz w:val="20"/>
          <w:szCs w:val="20"/>
        </w:rPr>
        <w:t>8) określenia granic obszaru Pomnika Zagłady i jego strefy ochronnej, utworzenia parku kulturowego,</w:t>
      </w:r>
    </w:p>
    <w:p w14:paraId="28FC7DB8" w14:textId="77777777" w:rsidR="004151A2" w:rsidRPr="00B371F5" w:rsidRDefault="001E5696">
      <w:pPr>
        <w:spacing w:before="25" w:after="0"/>
        <w:jc w:val="both"/>
        <w:rPr>
          <w:sz w:val="20"/>
          <w:szCs w:val="20"/>
        </w:rPr>
      </w:pPr>
      <w:r w:rsidRPr="00B371F5">
        <w:rPr>
          <w:color w:val="000000"/>
          <w:sz w:val="20"/>
          <w:szCs w:val="20"/>
        </w:rPr>
        <w:t>9) ustalenia zasad i warunków sytuowania obiektów małej architektury, tablic reklamowych i urządzeń reklamowych oraz ogrodzeń, ich gabarytów, standardów jakościowych oraz rodzajów materiałów budowlanych.</w:t>
      </w:r>
    </w:p>
    <w:p w14:paraId="796FCEF0" w14:textId="77777777" w:rsidR="004151A2" w:rsidRPr="00B371F5" w:rsidRDefault="001E5696">
      <w:pPr>
        <w:spacing w:before="25" w:after="0"/>
        <w:jc w:val="both"/>
        <w:rPr>
          <w:sz w:val="20"/>
          <w:szCs w:val="20"/>
        </w:rPr>
      </w:pPr>
      <w:r w:rsidRPr="00B371F5">
        <w:rPr>
          <w:color w:val="000000"/>
          <w:sz w:val="20"/>
          <w:szCs w:val="20"/>
          <w:vertAlign w:val="superscript"/>
        </w:rPr>
        <w:t>5)</w:t>
      </w:r>
      <w:r w:rsidRPr="00B371F5">
        <w:rPr>
          <w:color w:val="000000"/>
          <w:sz w:val="20"/>
          <w:szCs w:val="20"/>
        </w:rPr>
        <w:t xml:space="preserve"> W przypadku braku miejscowego planu zagospodarowania przestrzennego umieszcza się informację "Brak planu".</w:t>
      </w:r>
    </w:p>
    <w:p w14:paraId="5162B7E2" w14:textId="77777777" w:rsidR="004151A2" w:rsidRPr="00B371F5" w:rsidRDefault="001E5696">
      <w:pPr>
        <w:spacing w:before="25" w:after="0"/>
        <w:jc w:val="both"/>
        <w:rPr>
          <w:sz w:val="20"/>
          <w:szCs w:val="20"/>
        </w:rPr>
      </w:pPr>
      <w:r w:rsidRPr="00B371F5">
        <w:rPr>
          <w:color w:val="000000"/>
          <w:sz w:val="20"/>
          <w:szCs w:val="20"/>
          <w:vertAlign w:val="superscript"/>
        </w:rPr>
        <w:t>6)</w:t>
      </w:r>
      <w:r w:rsidRPr="00B371F5">
        <w:rPr>
          <w:color w:val="000000"/>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w:t>
      </w:r>
    </w:p>
    <w:p w14:paraId="53354C1E" w14:textId="77777777" w:rsidR="004151A2" w:rsidRPr="00B371F5" w:rsidRDefault="001E5696">
      <w:pPr>
        <w:spacing w:before="25" w:after="0"/>
        <w:jc w:val="both"/>
        <w:rPr>
          <w:sz w:val="20"/>
          <w:szCs w:val="20"/>
        </w:rPr>
      </w:pPr>
      <w:r w:rsidRPr="00B371F5">
        <w:rPr>
          <w:color w:val="000000"/>
          <w:sz w:val="20"/>
          <w:szCs w:val="20"/>
          <w:vertAlign w:val="superscript"/>
        </w:rPr>
        <w:t>7)</w:t>
      </w:r>
      <w:r w:rsidRPr="00B371F5">
        <w:rPr>
          <w:color w:val="000000"/>
          <w:sz w:val="20"/>
          <w:szCs w:val="20"/>
        </w:rPr>
        <w:t xml:space="preserve"> Zgodnie z </w:t>
      </w:r>
      <w:r w:rsidRPr="00B371F5">
        <w:rPr>
          <w:color w:val="1B1B1B"/>
          <w:sz w:val="20"/>
          <w:szCs w:val="20"/>
        </w:rPr>
        <w:t>art. 48 ust. 6</w:t>
      </w:r>
      <w:r w:rsidRPr="00B371F5">
        <w:rPr>
          <w:color w:val="000000"/>
          <w:sz w:val="20"/>
          <w:szCs w:val="20"/>
        </w:rPr>
        <w:t xml:space="preserve">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w:t>
      </w:r>
      <w:r w:rsidRPr="00B371F5">
        <w:rPr>
          <w:color w:val="1B1B1B"/>
          <w:sz w:val="20"/>
          <w:szCs w:val="20"/>
        </w:rPr>
        <w:t>art. 48 ust. 8</w:t>
      </w:r>
      <w:r w:rsidRPr="00B371F5">
        <w:rPr>
          <w:color w:val="000000"/>
          <w:sz w:val="20"/>
          <w:szCs w:val="20"/>
        </w:rPr>
        <w:t xml:space="preserve"> ustawy z dnia 20 maja 2021 r. o ochronie praw nabywcy lokalu mieszkalnego lub domu jednorodzinnego oraz Deweloperskim Funduszu Gwarancyjnym.</w:t>
      </w:r>
    </w:p>
    <w:p w14:paraId="27F312B8" w14:textId="70031260" w:rsidR="004151A2" w:rsidRDefault="001E5696" w:rsidP="00DA5D02">
      <w:pPr>
        <w:spacing w:before="25" w:after="0"/>
        <w:jc w:val="both"/>
        <w:rPr>
          <w:color w:val="000000"/>
          <w:sz w:val="20"/>
          <w:szCs w:val="20"/>
        </w:rPr>
      </w:pPr>
      <w:r w:rsidRPr="00B371F5">
        <w:rPr>
          <w:color w:val="000000"/>
          <w:sz w:val="20"/>
          <w:szCs w:val="20"/>
        </w:rPr>
        <w:t>* Niepotrzebne skreślić.</w:t>
      </w:r>
    </w:p>
    <w:p w14:paraId="3408AD97" w14:textId="77777777" w:rsidR="00D70000" w:rsidRDefault="00D70000" w:rsidP="00D70000">
      <w:pPr>
        <w:spacing w:before="25" w:after="0"/>
        <w:jc w:val="both"/>
        <w:rPr>
          <w:color w:val="000000"/>
          <w:sz w:val="20"/>
          <w:szCs w:val="20"/>
        </w:rPr>
      </w:pPr>
    </w:p>
    <w:p w14:paraId="0EC41B74" w14:textId="77777777" w:rsidR="00D70000" w:rsidRDefault="00D70000" w:rsidP="00D70000">
      <w:pPr>
        <w:spacing w:before="25" w:after="0"/>
        <w:jc w:val="both"/>
        <w:rPr>
          <w:color w:val="000000"/>
          <w:sz w:val="20"/>
          <w:szCs w:val="20"/>
        </w:rPr>
      </w:pPr>
    </w:p>
    <w:p w14:paraId="73265B67" w14:textId="77777777" w:rsidR="00D70000" w:rsidRDefault="00D70000" w:rsidP="00D70000">
      <w:pPr>
        <w:spacing w:before="25" w:after="0"/>
        <w:jc w:val="both"/>
        <w:rPr>
          <w:color w:val="000000"/>
          <w:sz w:val="20"/>
          <w:szCs w:val="20"/>
        </w:rPr>
      </w:pPr>
    </w:p>
    <w:p w14:paraId="72F6FED9" w14:textId="145DF255" w:rsidR="00D70000" w:rsidRPr="00B371F5" w:rsidRDefault="00D70000" w:rsidP="00D70000">
      <w:pPr>
        <w:spacing w:before="25" w:after="0"/>
        <w:jc w:val="both"/>
        <w:rPr>
          <w:sz w:val="20"/>
          <w:szCs w:val="20"/>
        </w:rPr>
      </w:pPr>
      <w:r w:rsidRPr="00B371F5">
        <w:rPr>
          <w:b/>
          <w:color w:val="000000"/>
          <w:sz w:val="20"/>
          <w:szCs w:val="20"/>
        </w:rPr>
        <w:lastRenderedPageBreak/>
        <w:t>CZĘŚĆ INDYWIDUALNA</w:t>
      </w:r>
    </w:p>
    <w:tbl>
      <w:tblPr>
        <w:tblW w:w="10490" w:type="dxa"/>
        <w:tblCellSpacing w:w="0" w:type="auto"/>
        <w:tblInd w:w="-71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27"/>
        <w:gridCol w:w="349"/>
        <w:gridCol w:w="2128"/>
        <w:gridCol w:w="425"/>
        <w:gridCol w:w="979"/>
        <w:gridCol w:w="2830"/>
        <w:gridCol w:w="1152"/>
      </w:tblGrid>
      <w:tr w:rsidR="00D70000" w:rsidRPr="00B371F5" w14:paraId="10B8D698" w14:textId="77777777" w:rsidTr="00A3158C">
        <w:trPr>
          <w:trHeight w:val="438"/>
          <w:tblCellSpacing w:w="0" w:type="auto"/>
        </w:trPr>
        <w:tc>
          <w:tcPr>
            <w:tcW w:w="5529" w:type="dxa"/>
            <w:gridSpan w:val="4"/>
            <w:tcBorders>
              <w:bottom w:val="single" w:sz="8" w:space="0" w:color="000000"/>
              <w:right w:val="single" w:sz="4" w:space="0" w:color="auto"/>
            </w:tcBorders>
            <w:tcMar>
              <w:top w:w="15" w:type="dxa"/>
              <w:left w:w="15" w:type="dxa"/>
              <w:bottom w:w="15" w:type="dxa"/>
              <w:right w:w="15" w:type="dxa"/>
            </w:tcMar>
            <w:vAlign w:val="center"/>
          </w:tcPr>
          <w:p w14:paraId="089BC664" w14:textId="77777777" w:rsidR="00D70000" w:rsidRPr="00B371F5" w:rsidRDefault="00D70000" w:rsidP="00A3158C">
            <w:pPr>
              <w:spacing w:after="0"/>
              <w:rPr>
                <w:sz w:val="20"/>
                <w:szCs w:val="20"/>
              </w:rPr>
            </w:pPr>
            <w:r w:rsidRPr="00B371F5">
              <w:rPr>
                <w:color w:val="000000"/>
                <w:sz w:val="20"/>
                <w:szCs w:val="20"/>
              </w:rPr>
              <w:t>Cena lokalu mieszkalnego albo domu jednorodzinnego</w:t>
            </w:r>
          </w:p>
        </w:tc>
        <w:tc>
          <w:tcPr>
            <w:tcW w:w="4961" w:type="dxa"/>
            <w:gridSpan w:val="3"/>
            <w:tcBorders>
              <w:left w:val="single" w:sz="4" w:space="0" w:color="auto"/>
              <w:bottom w:val="single" w:sz="8" w:space="0" w:color="000000"/>
              <w:right w:val="single" w:sz="8" w:space="0" w:color="000000"/>
            </w:tcBorders>
            <w:vAlign w:val="center"/>
          </w:tcPr>
          <w:p w14:paraId="5B16B208" w14:textId="77777777" w:rsidR="00D70000" w:rsidRPr="00B371F5" w:rsidRDefault="00D70000" w:rsidP="00A3158C">
            <w:pPr>
              <w:rPr>
                <w:color w:val="000000"/>
                <w:sz w:val="20"/>
                <w:szCs w:val="20"/>
              </w:rPr>
            </w:pPr>
            <w:r w:rsidRPr="001D6CEA">
              <w:rPr>
                <w:b/>
                <w:color w:val="000000"/>
                <w:szCs w:val="24"/>
                <w:highlight w:val="yellow"/>
              </w:rPr>
              <w:t>..........</w:t>
            </w:r>
            <w:r>
              <w:rPr>
                <w:b/>
                <w:color w:val="000000"/>
                <w:szCs w:val="24"/>
              </w:rPr>
              <w:t xml:space="preserve"> </w:t>
            </w:r>
            <w:r w:rsidRPr="00B371F5">
              <w:rPr>
                <w:color w:val="000000"/>
                <w:sz w:val="20"/>
                <w:szCs w:val="20"/>
              </w:rPr>
              <w:t>zł brutto</w:t>
            </w:r>
          </w:p>
        </w:tc>
      </w:tr>
      <w:tr w:rsidR="00D70000" w:rsidRPr="00B371F5" w14:paraId="05AC2B83" w14:textId="77777777" w:rsidTr="00A3158C">
        <w:trPr>
          <w:trHeight w:val="45"/>
          <w:tblCellSpacing w:w="0" w:type="auto"/>
        </w:trPr>
        <w:tc>
          <w:tcPr>
            <w:tcW w:w="5529" w:type="dxa"/>
            <w:gridSpan w:val="4"/>
            <w:tcBorders>
              <w:bottom w:val="single" w:sz="8" w:space="0" w:color="000000"/>
              <w:right w:val="single" w:sz="4" w:space="0" w:color="auto"/>
            </w:tcBorders>
            <w:tcMar>
              <w:top w:w="15" w:type="dxa"/>
              <w:left w:w="15" w:type="dxa"/>
              <w:bottom w:w="15" w:type="dxa"/>
              <w:right w:w="15" w:type="dxa"/>
            </w:tcMar>
            <w:vAlign w:val="center"/>
          </w:tcPr>
          <w:p w14:paraId="1E0D3819" w14:textId="77777777" w:rsidR="00D70000" w:rsidRPr="00B371F5" w:rsidRDefault="00D70000" w:rsidP="00A3158C">
            <w:pPr>
              <w:spacing w:after="0"/>
              <w:rPr>
                <w:sz w:val="20"/>
                <w:szCs w:val="20"/>
              </w:rPr>
            </w:pPr>
            <w:r w:rsidRPr="00B371F5">
              <w:rPr>
                <w:color w:val="000000"/>
                <w:sz w:val="20"/>
                <w:szCs w:val="20"/>
              </w:rPr>
              <w:t>Powierzchnia użytkowa lokalu mieszkalnego albo domu jednorodzinnego</w:t>
            </w:r>
          </w:p>
        </w:tc>
        <w:tc>
          <w:tcPr>
            <w:tcW w:w="4961" w:type="dxa"/>
            <w:gridSpan w:val="3"/>
            <w:tcBorders>
              <w:left w:val="single" w:sz="4" w:space="0" w:color="auto"/>
              <w:bottom w:val="single" w:sz="8" w:space="0" w:color="000000"/>
              <w:right w:val="single" w:sz="8" w:space="0" w:color="000000"/>
            </w:tcBorders>
            <w:vAlign w:val="center"/>
          </w:tcPr>
          <w:p w14:paraId="7C2DD75E" w14:textId="77777777" w:rsidR="00D70000" w:rsidRPr="00B371F5" w:rsidRDefault="00D70000" w:rsidP="00A3158C">
            <w:pPr>
              <w:rPr>
                <w:color w:val="000000"/>
                <w:sz w:val="20"/>
                <w:szCs w:val="20"/>
              </w:rPr>
            </w:pPr>
            <w:r w:rsidRPr="001D6CEA">
              <w:rPr>
                <w:b/>
                <w:color w:val="000000"/>
                <w:szCs w:val="24"/>
                <w:highlight w:val="yellow"/>
              </w:rPr>
              <w:t>..........</w:t>
            </w:r>
            <w:r>
              <w:rPr>
                <w:b/>
                <w:color w:val="000000"/>
                <w:szCs w:val="24"/>
              </w:rPr>
              <w:t xml:space="preserve"> </w:t>
            </w:r>
            <w:r w:rsidRPr="00B371F5">
              <w:rPr>
                <w:color w:val="000000"/>
                <w:sz w:val="20"/>
                <w:szCs w:val="20"/>
              </w:rPr>
              <w:t>m2</w:t>
            </w:r>
          </w:p>
        </w:tc>
      </w:tr>
      <w:tr w:rsidR="00D70000" w:rsidRPr="00B371F5" w14:paraId="4B4C7C6F" w14:textId="77777777" w:rsidTr="00A3158C">
        <w:trPr>
          <w:trHeight w:val="45"/>
          <w:tblCellSpacing w:w="0" w:type="auto"/>
        </w:trPr>
        <w:tc>
          <w:tcPr>
            <w:tcW w:w="5529" w:type="dxa"/>
            <w:gridSpan w:val="4"/>
            <w:tcBorders>
              <w:bottom w:val="single" w:sz="8" w:space="0" w:color="000000"/>
              <w:right w:val="single" w:sz="4" w:space="0" w:color="auto"/>
            </w:tcBorders>
            <w:tcMar>
              <w:top w:w="15" w:type="dxa"/>
              <w:left w:w="15" w:type="dxa"/>
              <w:bottom w:w="15" w:type="dxa"/>
              <w:right w:w="15" w:type="dxa"/>
            </w:tcMar>
            <w:vAlign w:val="center"/>
          </w:tcPr>
          <w:p w14:paraId="390DE588" w14:textId="77777777" w:rsidR="00D70000" w:rsidRPr="00B371F5" w:rsidRDefault="00D70000" w:rsidP="00A3158C">
            <w:pPr>
              <w:spacing w:after="0"/>
              <w:rPr>
                <w:sz w:val="20"/>
                <w:szCs w:val="20"/>
              </w:rPr>
            </w:pPr>
            <w:r w:rsidRPr="00B371F5">
              <w:rPr>
                <w:color w:val="000000"/>
                <w:sz w:val="20"/>
                <w:szCs w:val="20"/>
              </w:rPr>
              <w:t>Cena m</w:t>
            </w:r>
            <w:r w:rsidRPr="00B371F5">
              <w:rPr>
                <w:color w:val="000000"/>
                <w:sz w:val="20"/>
                <w:szCs w:val="20"/>
                <w:vertAlign w:val="superscript"/>
              </w:rPr>
              <w:t>2</w:t>
            </w:r>
            <w:r w:rsidRPr="00B371F5">
              <w:rPr>
                <w:color w:val="000000"/>
                <w:sz w:val="20"/>
                <w:szCs w:val="20"/>
              </w:rPr>
              <w:t xml:space="preserve"> powierzchni użytkowej lokalu mieszkalnego albo domu jednorodzinnego</w:t>
            </w:r>
          </w:p>
        </w:tc>
        <w:tc>
          <w:tcPr>
            <w:tcW w:w="4961" w:type="dxa"/>
            <w:gridSpan w:val="3"/>
            <w:tcBorders>
              <w:left w:val="single" w:sz="4" w:space="0" w:color="auto"/>
              <w:bottom w:val="single" w:sz="8" w:space="0" w:color="000000"/>
              <w:right w:val="single" w:sz="8" w:space="0" w:color="000000"/>
            </w:tcBorders>
            <w:vAlign w:val="center"/>
          </w:tcPr>
          <w:p w14:paraId="652B5AEF" w14:textId="77777777" w:rsidR="00D70000" w:rsidRPr="00B371F5" w:rsidRDefault="00D70000" w:rsidP="00A3158C">
            <w:pPr>
              <w:rPr>
                <w:color w:val="000000"/>
                <w:sz w:val="20"/>
                <w:szCs w:val="20"/>
              </w:rPr>
            </w:pPr>
            <w:r w:rsidRPr="001D6CEA">
              <w:rPr>
                <w:b/>
                <w:color w:val="000000"/>
                <w:szCs w:val="24"/>
                <w:highlight w:val="yellow"/>
              </w:rPr>
              <w:t>..........</w:t>
            </w:r>
            <w:r>
              <w:rPr>
                <w:b/>
                <w:color w:val="000000"/>
                <w:szCs w:val="24"/>
              </w:rPr>
              <w:t xml:space="preserve"> </w:t>
            </w:r>
            <w:r w:rsidRPr="00B371F5">
              <w:rPr>
                <w:color w:val="000000"/>
                <w:sz w:val="20"/>
                <w:szCs w:val="20"/>
              </w:rPr>
              <w:t>zł/m2 brutto</w:t>
            </w:r>
          </w:p>
        </w:tc>
      </w:tr>
      <w:tr w:rsidR="00D70000" w:rsidRPr="00B371F5" w14:paraId="4592B0E5" w14:textId="77777777" w:rsidTr="00A3158C">
        <w:trPr>
          <w:trHeight w:val="1596"/>
          <w:tblCellSpacing w:w="0" w:type="auto"/>
        </w:trPr>
        <w:tc>
          <w:tcPr>
            <w:tcW w:w="5529" w:type="dxa"/>
            <w:gridSpan w:val="4"/>
            <w:tcBorders>
              <w:bottom w:val="single" w:sz="8" w:space="0" w:color="000000"/>
              <w:right w:val="single" w:sz="4" w:space="0" w:color="auto"/>
            </w:tcBorders>
            <w:tcMar>
              <w:top w:w="15" w:type="dxa"/>
              <w:left w:w="15" w:type="dxa"/>
              <w:bottom w:w="15" w:type="dxa"/>
              <w:right w:w="15" w:type="dxa"/>
            </w:tcMar>
            <w:vAlign w:val="center"/>
          </w:tcPr>
          <w:p w14:paraId="504E8098" w14:textId="77777777" w:rsidR="00D70000" w:rsidRPr="00B371F5" w:rsidRDefault="00D70000" w:rsidP="00A3158C">
            <w:pPr>
              <w:rPr>
                <w:sz w:val="20"/>
                <w:szCs w:val="20"/>
              </w:rPr>
            </w:pPr>
            <w:r w:rsidRPr="00B371F5">
              <w:rPr>
                <w:color w:val="000000"/>
                <w:sz w:val="20"/>
                <w:szCs w:val="20"/>
              </w:rPr>
              <w:t>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w:t>
            </w:r>
          </w:p>
        </w:tc>
        <w:tc>
          <w:tcPr>
            <w:tcW w:w="4961" w:type="dxa"/>
            <w:gridSpan w:val="3"/>
            <w:tcBorders>
              <w:left w:val="single" w:sz="4" w:space="0" w:color="auto"/>
              <w:bottom w:val="single" w:sz="8" w:space="0" w:color="000000"/>
              <w:right w:val="single" w:sz="8" w:space="0" w:color="000000"/>
            </w:tcBorders>
            <w:vAlign w:val="center"/>
          </w:tcPr>
          <w:p w14:paraId="6EA831FD" w14:textId="77777777" w:rsidR="00D70000" w:rsidRPr="00B371F5" w:rsidRDefault="00D70000" w:rsidP="00A3158C">
            <w:pPr>
              <w:rPr>
                <w:sz w:val="20"/>
                <w:szCs w:val="20"/>
              </w:rPr>
            </w:pPr>
            <w:r w:rsidRPr="00B371F5">
              <w:rPr>
                <w:sz w:val="20"/>
                <w:szCs w:val="20"/>
              </w:rPr>
              <w:t>31 październik 2026</w:t>
            </w:r>
          </w:p>
        </w:tc>
      </w:tr>
      <w:tr w:rsidR="00D70000" w:rsidRPr="00B371F5" w14:paraId="78C2A4BE" w14:textId="77777777" w:rsidTr="00A3158C">
        <w:trPr>
          <w:trHeight w:val="617"/>
          <w:tblCellSpacing w:w="0" w:type="auto"/>
        </w:trPr>
        <w:tc>
          <w:tcPr>
            <w:tcW w:w="2627" w:type="dxa"/>
            <w:vMerge w:val="restart"/>
            <w:tcBorders>
              <w:bottom w:val="single" w:sz="8" w:space="0" w:color="000000"/>
              <w:right w:val="single" w:sz="8" w:space="0" w:color="000000"/>
            </w:tcBorders>
            <w:tcMar>
              <w:top w:w="15" w:type="dxa"/>
              <w:left w:w="15" w:type="dxa"/>
              <w:bottom w:w="15" w:type="dxa"/>
              <w:right w:w="15" w:type="dxa"/>
            </w:tcMar>
            <w:vAlign w:val="center"/>
          </w:tcPr>
          <w:p w14:paraId="27990FF1" w14:textId="77777777" w:rsidR="00D70000" w:rsidRPr="00B371F5" w:rsidRDefault="00D70000" w:rsidP="00A3158C">
            <w:pPr>
              <w:spacing w:after="0"/>
              <w:rPr>
                <w:sz w:val="20"/>
                <w:szCs w:val="20"/>
              </w:rPr>
            </w:pPr>
            <w:r w:rsidRPr="00B371F5">
              <w:rPr>
                <w:color w:val="000000"/>
                <w:sz w:val="20"/>
                <w:szCs w:val="20"/>
              </w:rPr>
              <w:t>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w:t>
            </w: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360566B8" w14:textId="77777777" w:rsidR="00D70000" w:rsidRPr="00B371F5" w:rsidRDefault="00D70000" w:rsidP="00A3158C">
            <w:pPr>
              <w:spacing w:after="0"/>
              <w:rPr>
                <w:sz w:val="20"/>
                <w:szCs w:val="20"/>
              </w:rPr>
            </w:pPr>
            <w:r w:rsidRPr="00B371F5">
              <w:rPr>
                <w:color w:val="000000"/>
                <w:sz w:val="20"/>
                <w:szCs w:val="20"/>
              </w:rPr>
              <w:t>Liczba kondygnacji</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08427657" w14:textId="77777777" w:rsidR="00D70000" w:rsidRPr="00B371F5" w:rsidRDefault="00D70000" w:rsidP="00A3158C">
            <w:pPr>
              <w:rPr>
                <w:sz w:val="20"/>
                <w:szCs w:val="20"/>
              </w:rPr>
            </w:pPr>
            <w:r w:rsidRPr="00B371F5">
              <w:rPr>
                <w:sz w:val="20"/>
                <w:szCs w:val="20"/>
              </w:rPr>
              <w:t>5 kondygnacji nadziemnych</w:t>
            </w:r>
            <w:r w:rsidRPr="00B371F5">
              <w:rPr>
                <w:sz w:val="20"/>
                <w:szCs w:val="20"/>
              </w:rPr>
              <w:br/>
              <w:t>1 kondygnacja podziemna</w:t>
            </w:r>
          </w:p>
        </w:tc>
      </w:tr>
      <w:tr w:rsidR="00D70000" w:rsidRPr="00B371F5" w14:paraId="2E0D4E56" w14:textId="77777777" w:rsidTr="00A3158C">
        <w:trPr>
          <w:trHeight w:val="45"/>
          <w:tblCellSpacing w:w="0" w:type="auto"/>
        </w:trPr>
        <w:tc>
          <w:tcPr>
            <w:tcW w:w="2627" w:type="dxa"/>
            <w:vMerge/>
            <w:tcBorders>
              <w:top w:val="nil"/>
              <w:bottom w:val="single" w:sz="8" w:space="0" w:color="000000"/>
              <w:right w:val="single" w:sz="8" w:space="0" w:color="000000"/>
            </w:tcBorders>
          </w:tcPr>
          <w:p w14:paraId="5E37159E"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02452D56" w14:textId="77777777" w:rsidR="00D70000" w:rsidRPr="00B371F5" w:rsidRDefault="00D70000" w:rsidP="00A3158C">
            <w:pPr>
              <w:spacing w:after="0"/>
              <w:rPr>
                <w:sz w:val="20"/>
                <w:szCs w:val="20"/>
              </w:rPr>
            </w:pPr>
            <w:r w:rsidRPr="00B371F5">
              <w:rPr>
                <w:color w:val="000000"/>
                <w:sz w:val="20"/>
                <w:szCs w:val="20"/>
              </w:rPr>
              <w:t>Technologia wykonania</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32E8F50A" w14:textId="77777777" w:rsidR="00D70000" w:rsidRPr="00B371F5" w:rsidRDefault="00D70000" w:rsidP="00A3158C">
            <w:pPr>
              <w:rPr>
                <w:sz w:val="20"/>
                <w:szCs w:val="20"/>
              </w:rPr>
            </w:pPr>
            <w:r w:rsidRPr="00B371F5">
              <w:rPr>
                <w:sz w:val="20"/>
                <w:szCs w:val="20"/>
              </w:rPr>
              <w:t>Zgodnie z załącznikiem nr 4 do Prospektu Informacyjnego - ,,Standard wykończenia”</w:t>
            </w:r>
          </w:p>
        </w:tc>
      </w:tr>
      <w:tr w:rsidR="00D70000" w:rsidRPr="00B371F5" w14:paraId="3EFDBF08" w14:textId="77777777" w:rsidTr="00A3158C">
        <w:trPr>
          <w:trHeight w:val="45"/>
          <w:tblCellSpacing w:w="0" w:type="auto"/>
        </w:trPr>
        <w:tc>
          <w:tcPr>
            <w:tcW w:w="2627" w:type="dxa"/>
            <w:vMerge/>
            <w:tcBorders>
              <w:top w:val="nil"/>
              <w:bottom w:val="single" w:sz="8" w:space="0" w:color="000000"/>
              <w:right w:val="single" w:sz="8" w:space="0" w:color="000000"/>
            </w:tcBorders>
          </w:tcPr>
          <w:p w14:paraId="4F831195"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724660E2" w14:textId="77777777" w:rsidR="00D70000" w:rsidRPr="00B371F5" w:rsidRDefault="00D70000" w:rsidP="00A3158C">
            <w:pPr>
              <w:spacing w:after="0"/>
              <w:rPr>
                <w:sz w:val="20"/>
                <w:szCs w:val="20"/>
              </w:rPr>
            </w:pPr>
            <w:r w:rsidRPr="00B371F5">
              <w:rPr>
                <w:color w:val="000000"/>
                <w:sz w:val="20"/>
                <w:szCs w:val="20"/>
              </w:rPr>
              <w:t>Standard prac wykończeniowych w części wspólnej budynku i terenie wokół niego, stanowiącym część wspólną nieruchomości</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10FFC38D" w14:textId="77777777" w:rsidR="00D70000" w:rsidRPr="00B371F5" w:rsidRDefault="00D70000" w:rsidP="00A3158C">
            <w:pPr>
              <w:rPr>
                <w:sz w:val="20"/>
                <w:szCs w:val="20"/>
              </w:rPr>
            </w:pPr>
            <w:r w:rsidRPr="00B371F5">
              <w:rPr>
                <w:sz w:val="20"/>
                <w:szCs w:val="20"/>
              </w:rPr>
              <w:t>Zgodnie z załącznikiem nr 4 do Prospektu Informacyjnego - ,,Standard wykończenia”</w:t>
            </w:r>
          </w:p>
        </w:tc>
      </w:tr>
      <w:tr w:rsidR="00D70000" w:rsidRPr="00B371F5" w14:paraId="637B8E09" w14:textId="77777777" w:rsidTr="00A3158C">
        <w:trPr>
          <w:trHeight w:val="45"/>
          <w:tblCellSpacing w:w="0" w:type="auto"/>
        </w:trPr>
        <w:tc>
          <w:tcPr>
            <w:tcW w:w="2627" w:type="dxa"/>
            <w:vMerge/>
            <w:tcBorders>
              <w:top w:val="nil"/>
              <w:bottom w:val="single" w:sz="8" w:space="0" w:color="000000"/>
              <w:right w:val="single" w:sz="8" w:space="0" w:color="000000"/>
            </w:tcBorders>
          </w:tcPr>
          <w:p w14:paraId="27966256"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4F473B35" w14:textId="77777777" w:rsidR="00D70000" w:rsidRPr="00B371F5" w:rsidRDefault="00D70000" w:rsidP="00A3158C">
            <w:pPr>
              <w:spacing w:after="0"/>
              <w:rPr>
                <w:sz w:val="20"/>
                <w:szCs w:val="20"/>
              </w:rPr>
            </w:pPr>
            <w:r w:rsidRPr="00B371F5">
              <w:rPr>
                <w:color w:val="000000"/>
                <w:sz w:val="20"/>
                <w:szCs w:val="20"/>
              </w:rPr>
              <w:t>Liczba lokali w budynku</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7AB74268" w14:textId="77777777" w:rsidR="00D70000" w:rsidRPr="00B371F5" w:rsidRDefault="00D70000" w:rsidP="00A3158C">
            <w:pPr>
              <w:rPr>
                <w:sz w:val="20"/>
                <w:szCs w:val="20"/>
              </w:rPr>
            </w:pPr>
            <w:r w:rsidRPr="00B371F5">
              <w:rPr>
                <w:sz w:val="20"/>
                <w:szCs w:val="20"/>
              </w:rPr>
              <w:t>79</w:t>
            </w:r>
          </w:p>
        </w:tc>
      </w:tr>
      <w:tr w:rsidR="00D70000" w:rsidRPr="00B371F5" w14:paraId="0399B00C" w14:textId="77777777" w:rsidTr="00A3158C">
        <w:trPr>
          <w:trHeight w:val="870"/>
          <w:tblCellSpacing w:w="0" w:type="auto"/>
        </w:trPr>
        <w:tc>
          <w:tcPr>
            <w:tcW w:w="2627" w:type="dxa"/>
            <w:vMerge/>
            <w:tcBorders>
              <w:top w:val="nil"/>
              <w:bottom w:val="single" w:sz="8" w:space="0" w:color="000000"/>
              <w:right w:val="single" w:sz="8" w:space="0" w:color="000000"/>
            </w:tcBorders>
          </w:tcPr>
          <w:p w14:paraId="1604CBA9"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5105C472" w14:textId="77777777" w:rsidR="00D70000" w:rsidRPr="00B371F5" w:rsidRDefault="00D70000" w:rsidP="00A3158C">
            <w:pPr>
              <w:spacing w:after="0"/>
              <w:rPr>
                <w:sz w:val="20"/>
                <w:szCs w:val="20"/>
              </w:rPr>
            </w:pPr>
            <w:r w:rsidRPr="00B371F5">
              <w:rPr>
                <w:color w:val="000000"/>
                <w:sz w:val="20"/>
                <w:szCs w:val="20"/>
              </w:rPr>
              <w:t>Liczba miejsc garażowych i postojowych</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654E3024" w14:textId="77777777" w:rsidR="00D70000" w:rsidRPr="00B371F5" w:rsidRDefault="00D70000" w:rsidP="00A3158C">
            <w:pPr>
              <w:rPr>
                <w:sz w:val="20"/>
                <w:szCs w:val="20"/>
              </w:rPr>
            </w:pPr>
            <w:r w:rsidRPr="00B371F5">
              <w:rPr>
                <w:sz w:val="20"/>
                <w:szCs w:val="20"/>
              </w:rPr>
              <w:t>76 miejsc postojowych w garażu podziemnym, 43 miejsc postojowych naziemnych, razem 119 miejsc postojowych</w:t>
            </w:r>
          </w:p>
        </w:tc>
      </w:tr>
      <w:tr w:rsidR="00D70000" w:rsidRPr="00B371F5" w14:paraId="24794817" w14:textId="77777777" w:rsidTr="00A3158C">
        <w:trPr>
          <w:trHeight w:val="45"/>
          <w:tblCellSpacing w:w="0" w:type="auto"/>
        </w:trPr>
        <w:tc>
          <w:tcPr>
            <w:tcW w:w="2627" w:type="dxa"/>
            <w:vMerge/>
            <w:tcBorders>
              <w:top w:val="nil"/>
              <w:bottom w:val="single" w:sz="8" w:space="0" w:color="000000"/>
              <w:right w:val="single" w:sz="8" w:space="0" w:color="000000"/>
            </w:tcBorders>
          </w:tcPr>
          <w:p w14:paraId="3A035D1B"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2E1796BF" w14:textId="77777777" w:rsidR="00D70000" w:rsidRPr="00B371F5" w:rsidRDefault="00D70000" w:rsidP="00A3158C">
            <w:pPr>
              <w:spacing w:after="0"/>
              <w:rPr>
                <w:sz w:val="20"/>
                <w:szCs w:val="20"/>
              </w:rPr>
            </w:pPr>
            <w:r w:rsidRPr="00B371F5">
              <w:rPr>
                <w:color w:val="000000"/>
                <w:sz w:val="20"/>
                <w:szCs w:val="20"/>
              </w:rPr>
              <w:t>Dostępne media w budynku</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59FEF13B" w14:textId="77777777" w:rsidR="00D70000" w:rsidRPr="00B371F5" w:rsidRDefault="00D70000" w:rsidP="00A3158C">
            <w:pPr>
              <w:rPr>
                <w:b/>
                <w:bCs/>
                <w:sz w:val="20"/>
                <w:szCs w:val="20"/>
              </w:rPr>
            </w:pPr>
            <w:r w:rsidRPr="00B371F5">
              <w:rPr>
                <w:sz w:val="20"/>
                <w:szCs w:val="20"/>
              </w:rPr>
              <w:t>Instalacja wodociągowa;</w:t>
            </w:r>
            <w:r w:rsidRPr="00B371F5">
              <w:rPr>
                <w:sz w:val="20"/>
                <w:szCs w:val="20"/>
              </w:rPr>
              <w:br/>
              <w:t>Instalacja kanalizacji sanitarnej;</w:t>
            </w:r>
            <w:r w:rsidRPr="00B371F5">
              <w:rPr>
                <w:sz w:val="20"/>
                <w:szCs w:val="20"/>
              </w:rPr>
              <w:br/>
              <w:t>Instalacja ciepłownicza;</w:t>
            </w:r>
            <w:r w:rsidRPr="00B371F5">
              <w:rPr>
                <w:sz w:val="20"/>
                <w:szCs w:val="20"/>
              </w:rPr>
              <w:br/>
              <w:t>Instalacja elektryczna;</w:t>
            </w:r>
            <w:r w:rsidRPr="00B371F5">
              <w:rPr>
                <w:sz w:val="20"/>
                <w:szCs w:val="20"/>
              </w:rPr>
              <w:br/>
              <w:t>Instalacja gazowa;</w:t>
            </w:r>
            <w:r w:rsidRPr="00B371F5">
              <w:rPr>
                <w:sz w:val="20"/>
                <w:szCs w:val="20"/>
              </w:rPr>
              <w:br/>
              <w:t>Instalacja teletechniczna;</w:t>
            </w:r>
            <w:r w:rsidRPr="00B371F5">
              <w:rPr>
                <w:sz w:val="20"/>
                <w:szCs w:val="20"/>
              </w:rPr>
              <w:br/>
              <w:t>Instalacja wód deszczowych</w:t>
            </w:r>
          </w:p>
        </w:tc>
      </w:tr>
      <w:tr w:rsidR="00D70000" w:rsidRPr="00B371F5" w14:paraId="0F6C8530" w14:textId="77777777" w:rsidTr="00A3158C">
        <w:trPr>
          <w:trHeight w:val="45"/>
          <w:tblCellSpacing w:w="0" w:type="auto"/>
        </w:trPr>
        <w:tc>
          <w:tcPr>
            <w:tcW w:w="2627" w:type="dxa"/>
            <w:vMerge/>
            <w:tcBorders>
              <w:top w:val="nil"/>
              <w:bottom w:val="single" w:sz="8" w:space="0" w:color="000000"/>
              <w:right w:val="single" w:sz="8" w:space="0" w:color="000000"/>
            </w:tcBorders>
          </w:tcPr>
          <w:p w14:paraId="5BCF6429" w14:textId="77777777" w:rsidR="00D70000" w:rsidRPr="00B371F5" w:rsidRDefault="00D70000" w:rsidP="00A3158C">
            <w:pPr>
              <w:rPr>
                <w:sz w:val="20"/>
                <w:szCs w:val="20"/>
              </w:rPr>
            </w:pPr>
          </w:p>
        </w:tc>
        <w:tc>
          <w:tcPr>
            <w:tcW w:w="3881" w:type="dxa"/>
            <w:gridSpan w:val="4"/>
            <w:tcBorders>
              <w:bottom w:val="single" w:sz="8" w:space="0" w:color="000000"/>
              <w:right w:val="single" w:sz="8" w:space="0" w:color="000000"/>
            </w:tcBorders>
            <w:tcMar>
              <w:top w:w="15" w:type="dxa"/>
              <w:left w:w="15" w:type="dxa"/>
              <w:bottom w:w="15" w:type="dxa"/>
              <w:right w:w="15" w:type="dxa"/>
            </w:tcMar>
            <w:vAlign w:val="center"/>
          </w:tcPr>
          <w:p w14:paraId="3E424F83" w14:textId="77777777" w:rsidR="00D70000" w:rsidRPr="00B371F5" w:rsidRDefault="00D70000" w:rsidP="00A3158C">
            <w:pPr>
              <w:spacing w:after="0"/>
              <w:rPr>
                <w:sz w:val="20"/>
                <w:szCs w:val="20"/>
              </w:rPr>
            </w:pPr>
            <w:r w:rsidRPr="00B371F5">
              <w:rPr>
                <w:color w:val="000000"/>
                <w:sz w:val="20"/>
                <w:szCs w:val="20"/>
              </w:rPr>
              <w:t>Dostęp do drogi publicznej</w:t>
            </w:r>
          </w:p>
        </w:tc>
        <w:tc>
          <w:tcPr>
            <w:tcW w:w="3982" w:type="dxa"/>
            <w:gridSpan w:val="2"/>
            <w:tcBorders>
              <w:bottom w:val="single" w:sz="8" w:space="0" w:color="000000"/>
              <w:right w:val="single" w:sz="8" w:space="0" w:color="000000"/>
            </w:tcBorders>
            <w:tcMar>
              <w:top w:w="15" w:type="dxa"/>
              <w:left w:w="15" w:type="dxa"/>
              <w:bottom w:w="15" w:type="dxa"/>
              <w:right w:w="15" w:type="dxa"/>
            </w:tcMar>
            <w:vAlign w:val="center"/>
          </w:tcPr>
          <w:p w14:paraId="10F12D88" w14:textId="77777777" w:rsidR="00D70000" w:rsidRPr="00B371F5" w:rsidRDefault="00D70000" w:rsidP="00A3158C">
            <w:pPr>
              <w:rPr>
                <w:sz w:val="20"/>
                <w:szCs w:val="20"/>
              </w:rPr>
            </w:pPr>
            <w:r w:rsidRPr="00B371F5">
              <w:rPr>
                <w:sz w:val="20"/>
                <w:szCs w:val="20"/>
              </w:rPr>
              <w:t>Wjazdy od strony południowej z ulicy Dywizjonu 303 oraz od strony północnej, z istniejącej drogi dojazdowej od terenów wojskowych</w:t>
            </w:r>
          </w:p>
        </w:tc>
      </w:tr>
      <w:tr w:rsidR="00D70000" w:rsidRPr="00B371F5" w14:paraId="041F6014" w14:textId="77777777" w:rsidTr="00A3158C">
        <w:trPr>
          <w:trHeight w:val="122"/>
          <w:tblCellSpacing w:w="0" w:type="auto"/>
        </w:trPr>
        <w:tc>
          <w:tcPr>
            <w:tcW w:w="5104" w:type="dxa"/>
            <w:gridSpan w:val="3"/>
            <w:tcBorders>
              <w:bottom w:val="single" w:sz="4" w:space="0" w:color="auto"/>
              <w:right w:val="single" w:sz="4" w:space="0" w:color="auto"/>
            </w:tcBorders>
            <w:tcMar>
              <w:top w:w="15" w:type="dxa"/>
              <w:left w:w="15" w:type="dxa"/>
              <w:bottom w:w="15" w:type="dxa"/>
              <w:right w:w="15" w:type="dxa"/>
            </w:tcMar>
            <w:vAlign w:val="center"/>
          </w:tcPr>
          <w:p w14:paraId="513E408D" w14:textId="77777777" w:rsidR="00D70000" w:rsidRPr="00B371F5" w:rsidRDefault="00D70000" w:rsidP="00A3158C">
            <w:pPr>
              <w:rPr>
                <w:bCs/>
                <w:sz w:val="20"/>
                <w:szCs w:val="20"/>
              </w:rPr>
            </w:pPr>
            <w:r w:rsidRPr="00B371F5">
              <w:rPr>
                <w:color w:val="000000"/>
                <w:sz w:val="20"/>
                <w:szCs w:val="20"/>
              </w:rPr>
              <w:t>Określenie usytuowania lokalu mieszkalnego w budynku, jeżeli przedsięwzięcie deweloperskie lub zadanie inwestycyjne dotyczy lokali mieszkalnych</w:t>
            </w:r>
          </w:p>
        </w:tc>
        <w:tc>
          <w:tcPr>
            <w:tcW w:w="5386" w:type="dxa"/>
            <w:gridSpan w:val="4"/>
            <w:tcBorders>
              <w:left w:val="single" w:sz="4" w:space="0" w:color="auto"/>
              <w:bottom w:val="single" w:sz="4" w:space="0" w:color="auto"/>
              <w:right w:val="single" w:sz="4" w:space="0" w:color="auto"/>
            </w:tcBorders>
            <w:vAlign w:val="center"/>
          </w:tcPr>
          <w:p w14:paraId="5C3F5150" w14:textId="77777777" w:rsidR="00D70000" w:rsidRPr="00B371F5" w:rsidRDefault="00D70000" w:rsidP="00A3158C">
            <w:pPr>
              <w:rPr>
                <w:color w:val="000000"/>
                <w:sz w:val="20"/>
                <w:szCs w:val="20"/>
              </w:rPr>
            </w:pPr>
            <w:r w:rsidRPr="00B371F5">
              <w:rPr>
                <w:color w:val="000000"/>
                <w:sz w:val="20"/>
                <w:szCs w:val="20"/>
              </w:rPr>
              <w:t xml:space="preserve">Lokal nr </w:t>
            </w:r>
            <w:r w:rsidRPr="001D6CEA">
              <w:rPr>
                <w:b/>
                <w:color w:val="000000"/>
                <w:szCs w:val="24"/>
                <w:highlight w:val="yellow"/>
              </w:rPr>
              <w:t>..........</w:t>
            </w:r>
            <w:r w:rsidRPr="00B371F5">
              <w:rPr>
                <w:color w:val="000000"/>
                <w:sz w:val="20"/>
                <w:szCs w:val="20"/>
              </w:rPr>
              <w:t xml:space="preserve">położony na </w:t>
            </w:r>
            <w:r w:rsidRPr="001D6CEA">
              <w:rPr>
                <w:b/>
                <w:color w:val="000000"/>
                <w:szCs w:val="24"/>
                <w:highlight w:val="yellow"/>
              </w:rPr>
              <w:t>..........</w:t>
            </w:r>
            <w:r w:rsidRPr="00B371F5">
              <w:rPr>
                <w:color w:val="000000"/>
                <w:sz w:val="20"/>
                <w:szCs w:val="20"/>
              </w:rPr>
              <w:t xml:space="preserve">  piętrze w klatce </w:t>
            </w:r>
            <w:r w:rsidRPr="001D6CEA">
              <w:rPr>
                <w:b/>
                <w:color w:val="000000"/>
                <w:szCs w:val="24"/>
                <w:highlight w:val="yellow"/>
              </w:rPr>
              <w:t>..........</w:t>
            </w:r>
            <w:r w:rsidRPr="00B371F5">
              <w:rPr>
                <w:color w:val="000000"/>
                <w:sz w:val="20"/>
                <w:szCs w:val="20"/>
              </w:rPr>
              <w:t xml:space="preserve"> w budynku Dywizjonu 303</w:t>
            </w:r>
          </w:p>
        </w:tc>
      </w:tr>
      <w:tr w:rsidR="00D70000" w:rsidRPr="00B371F5" w14:paraId="485FBAC2" w14:textId="77777777" w:rsidTr="00A3158C">
        <w:trPr>
          <w:trHeight w:val="968"/>
          <w:tblCellSpacing w:w="0" w:type="auto"/>
        </w:trPr>
        <w:tc>
          <w:tcPr>
            <w:tcW w:w="5104" w:type="dxa"/>
            <w:gridSpan w:val="3"/>
            <w:tcBorders>
              <w:top w:val="single" w:sz="4" w:space="0" w:color="auto"/>
              <w:bottom w:val="single" w:sz="4" w:space="0" w:color="auto"/>
              <w:right w:val="single" w:sz="4" w:space="0" w:color="auto"/>
            </w:tcBorders>
            <w:tcMar>
              <w:top w:w="15" w:type="dxa"/>
              <w:left w:w="15" w:type="dxa"/>
              <w:bottom w:w="15" w:type="dxa"/>
              <w:right w:w="15" w:type="dxa"/>
            </w:tcMar>
            <w:vAlign w:val="center"/>
          </w:tcPr>
          <w:p w14:paraId="42B595F7" w14:textId="77777777" w:rsidR="00D70000" w:rsidRPr="00B371F5" w:rsidRDefault="00D70000" w:rsidP="00A3158C">
            <w:pPr>
              <w:rPr>
                <w:sz w:val="20"/>
                <w:szCs w:val="20"/>
              </w:rPr>
            </w:pPr>
            <w:r w:rsidRPr="00B371F5">
              <w:rPr>
                <w:color w:val="000000"/>
                <w:sz w:val="20"/>
                <w:szCs w:val="20"/>
              </w:rPr>
              <w:t>Określenie powierzchni użytkowej i układu pomieszczeń oraz zakresu i standardu prac wykończeniowych, do których wykonania zobowiązuje się deweloper</w:t>
            </w:r>
          </w:p>
        </w:tc>
        <w:tc>
          <w:tcPr>
            <w:tcW w:w="5386" w:type="dxa"/>
            <w:gridSpan w:val="4"/>
            <w:tcBorders>
              <w:top w:val="single" w:sz="4" w:space="0" w:color="auto"/>
              <w:bottom w:val="single" w:sz="4" w:space="0" w:color="auto"/>
              <w:right w:val="single" w:sz="4" w:space="0" w:color="auto"/>
            </w:tcBorders>
          </w:tcPr>
          <w:p w14:paraId="4B46EF22" w14:textId="77777777" w:rsidR="00D70000" w:rsidRPr="00B371F5" w:rsidRDefault="00D70000" w:rsidP="00A3158C">
            <w:pPr>
              <w:shd w:val="clear" w:color="auto" w:fill="FFFFFF"/>
              <w:suppressAutoHyphens/>
              <w:snapToGrid w:val="0"/>
              <w:spacing w:before="30" w:after="0" w:line="270" w:lineRule="exact"/>
              <w:rPr>
                <w:color w:val="000000"/>
                <w:sz w:val="20"/>
                <w:szCs w:val="20"/>
              </w:rPr>
            </w:pPr>
            <w:r w:rsidRPr="00B371F5">
              <w:rPr>
                <w:color w:val="000000"/>
                <w:sz w:val="20"/>
                <w:szCs w:val="20"/>
              </w:rPr>
              <w:t xml:space="preserve">Lokal o powierzchni użytkowej </w:t>
            </w:r>
            <w:r w:rsidRPr="001D6CEA">
              <w:rPr>
                <w:b/>
                <w:color w:val="000000"/>
                <w:szCs w:val="24"/>
                <w:highlight w:val="yellow"/>
              </w:rPr>
              <w:t>..........</w:t>
            </w:r>
            <w:r>
              <w:rPr>
                <w:b/>
                <w:color w:val="000000"/>
                <w:szCs w:val="24"/>
              </w:rPr>
              <w:t xml:space="preserve"> </w:t>
            </w:r>
            <w:r w:rsidRPr="00B371F5">
              <w:rPr>
                <w:color w:val="000000"/>
                <w:sz w:val="20"/>
                <w:szCs w:val="20"/>
              </w:rPr>
              <w:t xml:space="preserve">m2, składający się z: </w:t>
            </w:r>
            <w:r>
              <w:rPr>
                <w:color w:val="000000"/>
                <w:sz w:val="20"/>
                <w:szCs w:val="20"/>
              </w:rPr>
              <w:t xml:space="preserve">holu, łazienki, pokoju dziennego z aneksem kuchennym, </w:t>
            </w:r>
            <w:r w:rsidRPr="001D6CEA">
              <w:rPr>
                <w:b/>
                <w:color w:val="000000"/>
                <w:szCs w:val="24"/>
                <w:highlight w:val="yellow"/>
              </w:rPr>
              <w:t>..........</w:t>
            </w:r>
          </w:p>
          <w:p w14:paraId="7B50D359" w14:textId="77777777" w:rsidR="00D70000" w:rsidRPr="00B371F5" w:rsidRDefault="00D70000" w:rsidP="00A3158C">
            <w:pPr>
              <w:shd w:val="clear" w:color="auto" w:fill="FFFFFF"/>
              <w:suppressAutoHyphens/>
              <w:snapToGrid w:val="0"/>
              <w:spacing w:before="30" w:after="0" w:line="270" w:lineRule="exact"/>
              <w:rPr>
                <w:color w:val="000000"/>
                <w:sz w:val="20"/>
                <w:szCs w:val="20"/>
              </w:rPr>
            </w:pPr>
            <w:r w:rsidRPr="00B371F5">
              <w:rPr>
                <w:color w:val="000000"/>
                <w:sz w:val="20"/>
                <w:szCs w:val="20"/>
              </w:rPr>
              <w:t xml:space="preserve">Wystawa okien: </w:t>
            </w:r>
            <w:r w:rsidRPr="001D6CEA">
              <w:rPr>
                <w:b/>
                <w:color w:val="000000"/>
                <w:szCs w:val="24"/>
                <w:highlight w:val="yellow"/>
              </w:rPr>
              <w:t>..........</w:t>
            </w:r>
          </w:p>
          <w:p w14:paraId="66C90207" w14:textId="77777777" w:rsidR="00D70000" w:rsidRPr="00B371F5" w:rsidRDefault="00D70000" w:rsidP="00A3158C">
            <w:pPr>
              <w:rPr>
                <w:color w:val="000000"/>
                <w:sz w:val="20"/>
                <w:szCs w:val="20"/>
              </w:rPr>
            </w:pPr>
            <w:r w:rsidRPr="00B371F5">
              <w:rPr>
                <w:color w:val="000000"/>
                <w:sz w:val="20"/>
                <w:szCs w:val="20"/>
              </w:rPr>
              <w:lastRenderedPageBreak/>
              <w:t>Standard wykończenia określa załącznik nr 4 do Prospektu Informacyjnego - ,,Standard wykończenia”.</w:t>
            </w:r>
          </w:p>
        </w:tc>
      </w:tr>
      <w:tr w:rsidR="00D70000" w:rsidRPr="00B371F5" w14:paraId="470C34E3" w14:textId="77777777" w:rsidTr="00A3158C">
        <w:trPr>
          <w:trHeight w:val="483"/>
          <w:tblCellSpacing w:w="0" w:type="auto"/>
        </w:trPr>
        <w:tc>
          <w:tcPr>
            <w:tcW w:w="5104" w:type="dxa"/>
            <w:gridSpan w:val="3"/>
            <w:tcBorders>
              <w:top w:val="single" w:sz="4" w:space="0" w:color="auto"/>
              <w:bottom w:val="single" w:sz="8" w:space="0" w:color="000000"/>
              <w:right w:val="single" w:sz="4" w:space="0" w:color="auto"/>
            </w:tcBorders>
            <w:tcMar>
              <w:top w:w="15" w:type="dxa"/>
              <w:left w:w="15" w:type="dxa"/>
              <w:bottom w:w="15" w:type="dxa"/>
              <w:right w:w="15" w:type="dxa"/>
            </w:tcMar>
            <w:vAlign w:val="center"/>
          </w:tcPr>
          <w:p w14:paraId="1B8C73C1" w14:textId="77777777" w:rsidR="00D70000" w:rsidRPr="00B371F5" w:rsidRDefault="00D70000" w:rsidP="00A3158C">
            <w:pPr>
              <w:rPr>
                <w:sz w:val="20"/>
                <w:szCs w:val="20"/>
              </w:rPr>
            </w:pPr>
            <w:r w:rsidRPr="00B371F5">
              <w:rPr>
                <w:color w:val="000000"/>
                <w:sz w:val="20"/>
                <w:szCs w:val="20"/>
              </w:rPr>
              <w:lastRenderedPageBreak/>
              <w:t>Data wydania zaświadczenia o samodzielności lokalu mieszkalnego</w:t>
            </w:r>
          </w:p>
        </w:tc>
        <w:tc>
          <w:tcPr>
            <w:tcW w:w="5386" w:type="dxa"/>
            <w:gridSpan w:val="4"/>
            <w:tcBorders>
              <w:top w:val="single" w:sz="4" w:space="0" w:color="auto"/>
              <w:left w:val="single" w:sz="4" w:space="0" w:color="auto"/>
              <w:bottom w:val="single" w:sz="8" w:space="0" w:color="000000"/>
              <w:right w:val="single" w:sz="8" w:space="0" w:color="000000"/>
            </w:tcBorders>
            <w:vAlign w:val="center"/>
          </w:tcPr>
          <w:p w14:paraId="76416D54" w14:textId="12B170AA" w:rsidR="00D70000" w:rsidRPr="00B371F5" w:rsidRDefault="00736CD1" w:rsidP="00A3158C">
            <w:pPr>
              <w:rPr>
                <w:sz w:val="20"/>
                <w:szCs w:val="20"/>
              </w:rPr>
            </w:pPr>
            <w:r>
              <w:rPr>
                <w:sz w:val="20"/>
                <w:szCs w:val="20"/>
              </w:rPr>
              <w:t>30 czerwiec 2026 r.</w:t>
            </w:r>
          </w:p>
        </w:tc>
      </w:tr>
      <w:tr w:rsidR="00D70000" w:rsidRPr="00B371F5" w14:paraId="16EB8830" w14:textId="77777777" w:rsidTr="00A3158C">
        <w:trPr>
          <w:trHeight w:val="45"/>
          <w:tblCellSpacing w:w="0" w:type="auto"/>
        </w:trPr>
        <w:tc>
          <w:tcPr>
            <w:tcW w:w="5104" w:type="dxa"/>
            <w:gridSpan w:val="3"/>
            <w:tcBorders>
              <w:bottom w:val="single" w:sz="8" w:space="0" w:color="000000"/>
              <w:right w:val="single" w:sz="4" w:space="0" w:color="auto"/>
            </w:tcBorders>
            <w:tcMar>
              <w:top w:w="15" w:type="dxa"/>
              <w:left w:w="15" w:type="dxa"/>
              <w:bottom w:w="15" w:type="dxa"/>
              <w:right w:w="15" w:type="dxa"/>
            </w:tcMar>
            <w:vAlign w:val="center"/>
          </w:tcPr>
          <w:p w14:paraId="3A55CE98" w14:textId="77777777" w:rsidR="00D70000" w:rsidRPr="00B371F5" w:rsidRDefault="00D70000" w:rsidP="00A3158C">
            <w:pPr>
              <w:rPr>
                <w:sz w:val="20"/>
                <w:szCs w:val="20"/>
              </w:rPr>
            </w:pPr>
            <w:r w:rsidRPr="00B371F5">
              <w:rPr>
                <w:color w:val="000000"/>
                <w:sz w:val="20"/>
                <w:szCs w:val="20"/>
              </w:rPr>
              <w:t>Data ustanowienia odrębnej własności lokalu mieszkalnego</w:t>
            </w:r>
          </w:p>
        </w:tc>
        <w:tc>
          <w:tcPr>
            <w:tcW w:w="5386" w:type="dxa"/>
            <w:gridSpan w:val="4"/>
            <w:tcBorders>
              <w:left w:val="single" w:sz="4" w:space="0" w:color="auto"/>
              <w:bottom w:val="single" w:sz="8" w:space="0" w:color="000000"/>
              <w:right w:val="single" w:sz="8" w:space="0" w:color="000000"/>
            </w:tcBorders>
            <w:vAlign w:val="center"/>
          </w:tcPr>
          <w:p w14:paraId="08E366CD" w14:textId="77777777" w:rsidR="00D70000" w:rsidRPr="00B371F5" w:rsidRDefault="00D70000" w:rsidP="00A3158C">
            <w:pPr>
              <w:rPr>
                <w:sz w:val="20"/>
                <w:szCs w:val="20"/>
              </w:rPr>
            </w:pPr>
            <w:r w:rsidRPr="00B371F5">
              <w:rPr>
                <w:sz w:val="20"/>
                <w:szCs w:val="20"/>
              </w:rPr>
              <w:t>31 październik 2026</w:t>
            </w:r>
          </w:p>
        </w:tc>
      </w:tr>
      <w:tr w:rsidR="00D70000" w:rsidRPr="00B371F5" w14:paraId="19F8FBE0" w14:textId="77777777" w:rsidTr="00A3158C">
        <w:trPr>
          <w:trHeight w:val="45"/>
          <w:tblCellSpacing w:w="0" w:type="auto"/>
        </w:trPr>
        <w:tc>
          <w:tcPr>
            <w:tcW w:w="5104" w:type="dxa"/>
            <w:gridSpan w:val="3"/>
            <w:tcBorders>
              <w:bottom w:val="single" w:sz="8" w:space="0" w:color="000000"/>
              <w:right w:val="single" w:sz="4" w:space="0" w:color="auto"/>
            </w:tcBorders>
            <w:tcMar>
              <w:top w:w="15" w:type="dxa"/>
              <w:left w:w="15" w:type="dxa"/>
              <w:bottom w:w="15" w:type="dxa"/>
              <w:right w:w="15" w:type="dxa"/>
            </w:tcMar>
            <w:vAlign w:val="center"/>
          </w:tcPr>
          <w:p w14:paraId="64D45860" w14:textId="77777777" w:rsidR="00D70000" w:rsidRPr="00B371F5" w:rsidRDefault="00D70000" w:rsidP="00A3158C">
            <w:pPr>
              <w:rPr>
                <w:sz w:val="20"/>
                <w:szCs w:val="20"/>
              </w:rPr>
            </w:pPr>
            <w:r w:rsidRPr="00B371F5">
              <w:rPr>
                <w:color w:val="000000"/>
                <w:sz w:val="20"/>
                <w:szCs w:val="20"/>
              </w:rPr>
              <w:t>Informacje o lokalu użytkowym nabywanym równocześnie z lokalem mieszkalnym albo domem jednorodzinnym</w:t>
            </w:r>
          </w:p>
        </w:tc>
        <w:tc>
          <w:tcPr>
            <w:tcW w:w="5386" w:type="dxa"/>
            <w:gridSpan w:val="4"/>
            <w:tcBorders>
              <w:bottom w:val="single" w:sz="8" w:space="0" w:color="000000"/>
              <w:right w:val="single" w:sz="4" w:space="0" w:color="auto"/>
            </w:tcBorders>
            <w:vAlign w:val="center"/>
          </w:tcPr>
          <w:p w14:paraId="414F4AE5" w14:textId="77777777" w:rsidR="00D70000" w:rsidRPr="00B371F5" w:rsidRDefault="00D70000" w:rsidP="00A3158C">
            <w:pPr>
              <w:rPr>
                <w:sz w:val="20"/>
                <w:szCs w:val="20"/>
              </w:rPr>
            </w:pPr>
            <w:r w:rsidRPr="00B371F5">
              <w:rPr>
                <w:sz w:val="20"/>
                <w:szCs w:val="20"/>
              </w:rPr>
              <w:t>nie dotyczy</w:t>
            </w:r>
          </w:p>
        </w:tc>
      </w:tr>
      <w:tr w:rsidR="00D70000" w:rsidRPr="00B371F5" w14:paraId="148CFE53" w14:textId="77777777" w:rsidTr="00A3158C">
        <w:trPr>
          <w:trHeight w:val="45"/>
          <w:tblCellSpacing w:w="0" w:type="auto"/>
        </w:trPr>
        <w:tc>
          <w:tcPr>
            <w:tcW w:w="5104" w:type="dxa"/>
            <w:gridSpan w:val="3"/>
            <w:tcBorders>
              <w:bottom w:val="single" w:sz="8" w:space="0" w:color="000000"/>
              <w:right w:val="single" w:sz="4" w:space="0" w:color="auto"/>
            </w:tcBorders>
            <w:tcMar>
              <w:top w:w="15" w:type="dxa"/>
              <w:left w:w="15" w:type="dxa"/>
              <w:bottom w:w="15" w:type="dxa"/>
              <w:right w:w="15" w:type="dxa"/>
            </w:tcMar>
            <w:vAlign w:val="center"/>
          </w:tcPr>
          <w:p w14:paraId="7FE37B31" w14:textId="77777777" w:rsidR="00D70000" w:rsidRPr="00B371F5" w:rsidRDefault="00D70000" w:rsidP="00A3158C">
            <w:pPr>
              <w:rPr>
                <w:sz w:val="20"/>
                <w:szCs w:val="20"/>
              </w:rPr>
            </w:pPr>
            <w:r w:rsidRPr="00B371F5">
              <w:rPr>
                <w:color w:val="000000"/>
                <w:sz w:val="20"/>
                <w:szCs w:val="20"/>
              </w:rPr>
              <w:t>Cena lokalu użytkowego albo ułamkowej części własności lokalu użytkowego</w:t>
            </w:r>
          </w:p>
        </w:tc>
        <w:tc>
          <w:tcPr>
            <w:tcW w:w="5386" w:type="dxa"/>
            <w:gridSpan w:val="4"/>
            <w:tcBorders>
              <w:left w:val="single" w:sz="4" w:space="0" w:color="auto"/>
              <w:bottom w:val="single" w:sz="8" w:space="0" w:color="000000"/>
              <w:right w:val="single" w:sz="8" w:space="0" w:color="000000"/>
            </w:tcBorders>
            <w:vAlign w:val="center"/>
          </w:tcPr>
          <w:p w14:paraId="54F9F731" w14:textId="77777777" w:rsidR="00D70000" w:rsidRPr="00B371F5" w:rsidRDefault="00D70000" w:rsidP="00A3158C">
            <w:pPr>
              <w:rPr>
                <w:sz w:val="20"/>
                <w:szCs w:val="20"/>
              </w:rPr>
            </w:pPr>
            <w:r w:rsidRPr="00B371F5">
              <w:rPr>
                <w:sz w:val="20"/>
                <w:szCs w:val="20"/>
              </w:rPr>
              <w:t>nie dotyczy</w:t>
            </w:r>
          </w:p>
        </w:tc>
      </w:tr>
      <w:tr w:rsidR="00D70000" w:rsidRPr="00B371F5" w14:paraId="1B53EAA9" w14:textId="77777777" w:rsidTr="00A3158C">
        <w:trPr>
          <w:trHeight w:val="798"/>
          <w:tblCellSpacing w:w="0" w:type="auto"/>
        </w:trPr>
        <w:tc>
          <w:tcPr>
            <w:tcW w:w="5104" w:type="dxa"/>
            <w:gridSpan w:val="3"/>
            <w:tcBorders>
              <w:bottom w:val="single" w:sz="8" w:space="0" w:color="000000"/>
              <w:right w:val="single" w:sz="4" w:space="0" w:color="auto"/>
            </w:tcBorders>
            <w:tcMar>
              <w:top w:w="15" w:type="dxa"/>
              <w:left w:w="15" w:type="dxa"/>
              <w:bottom w:w="15" w:type="dxa"/>
              <w:right w:w="15" w:type="dxa"/>
            </w:tcMar>
            <w:vAlign w:val="center"/>
          </w:tcPr>
          <w:p w14:paraId="000582BC" w14:textId="77777777" w:rsidR="00D70000" w:rsidRPr="00B371F5" w:rsidRDefault="00D70000" w:rsidP="00A3158C">
            <w:pPr>
              <w:rPr>
                <w:sz w:val="20"/>
                <w:szCs w:val="20"/>
              </w:rPr>
            </w:pPr>
            <w:r w:rsidRPr="00B371F5">
              <w:rPr>
                <w:color w:val="000000"/>
                <w:sz w:val="20"/>
                <w:szCs w:val="20"/>
              </w:rPr>
              <w:t>Termin, do którego nastąpi przeniesienie prawa własności lokalu użytkowego albo ułamkowej części własności lokalu użytkowego</w:t>
            </w:r>
          </w:p>
        </w:tc>
        <w:tc>
          <w:tcPr>
            <w:tcW w:w="5386" w:type="dxa"/>
            <w:gridSpan w:val="4"/>
            <w:tcBorders>
              <w:left w:val="single" w:sz="4" w:space="0" w:color="auto"/>
              <w:bottom w:val="single" w:sz="8" w:space="0" w:color="000000"/>
              <w:right w:val="single" w:sz="8" w:space="0" w:color="000000"/>
            </w:tcBorders>
            <w:vAlign w:val="center"/>
          </w:tcPr>
          <w:p w14:paraId="6E750BD5" w14:textId="77777777" w:rsidR="00D70000" w:rsidRPr="00B371F5" w:rsidRDefault="00D70000" w:rsidP="00A3158C">
            <w:pPr>
              <w:rPr>
                <w:sz w:val="20"/>
                <w:szCs w:val="20"/>
              </w:rPr>
            </w:pPr>
            <w:r w:rsidRPr="00B371F5">
              <w:rPr>
                <w:sz w:val="20"/>
                <w:szCs w:val="20"/>
              </w:rPr>
              <w:t>nie dotyczy</w:t>
            </w:r>
          </w:p>
        </w:tc>
      </w:tr>
      <w:tr w:rsidR="00D70000" w:rsidRPr="00BE7793" w14:paraId="65597860" w14:textId="77777777" w:rsidTr="00A3158C">
        <w:tblPrEx>
          <w:tblBorders>
            <w:top w:val="none" w:sz="0" w:space="0" w:color="auto"/>
            <w:left w:val="none" w:sz="0" w:space="0" w:color="auto"/>
            <w:bottom w:val="none" w:sz="0" w:space="0" w:color="auto"/>
            <w:right w:val="none" w:sz="0" w:space="0" w:color="auto"/>
          </w:tblBorders>
        </w:tblPrEx>
        <w:trPr>
          <w:gridAfter w:val="1"/>
          <w:wAfter w:w="1152" w:type="dxa"/>
          <w:trHeight w:val="30"/>
          <w:tblCellSpacing w:w="0" w:type="auto"/>
        </w:trPr>
        <w:tc>
          <w:tcPr>
            <w:tcW w:w="2976" w:type="dxa"/>
            <w:gridSpan w:val="2"/>
            <w:tcMar>
              <w:top w:w="15" w:type="dxa"/>
              <w:left w:w="15" w:type="dxa"/>
              <w:bottom w:w="15" w:type="dxa"/>
              <w:right w:w="15" w:type="dxa"/>
            </w:tcMar>
            <w:vAlign w:val="center"/>
          </w:tcPr>
          <w:p w14:paraId="7D5E159B" w14:textId="77777777" w:rsidR="00D70000" w:rsidRPr="00BE7793" w:rsidRDefault="00D70000" w:rsidP="00A3158C">
            <w:pPr>
              <w:jc w:val="right"/>
              <w:rPr>
                <w:szCs w:val="24"/>
              </w:rPr>
            </w:pPr>
          </w:p>
        </w:tc>
        <w:tc>
          <w:tcPr>
            <w:tcW w:w="6362" w:type="dxa"/>
            <w:gridSpan w:val="4"/>
            <w:tcMar>
              <w:top w:w="15" w:type="dxa"/>
              <w:left w:w="15" w:type="dxa"/>
              <w:bottom w:w="15" w:type="dxa"/>
              <w:right w:w="15" w:type="dxa"/>
            </w:tcMar>
            <w:vAlign w:val="center"/>
          </w:tcPr>
          <w:p w14:paraId="1D6FCEB3" w14:textId="77777777" w:rsidR="00D70000" w:rsidRPr="00BE7793" w:rsidRDefault="00D70000" w:rsidP="00A3158C">
            <w:pPr>
              <w:spacing w:after="0"/>
              <w:jc w:val="right"/>
              <w:rPr>
                <w:szCs w:val="24"/>
              </w:rPr>
            </w:pPr>
            <w:r w:rsidRPr="00BE7793">
              <w:rPr>
                <w:b/>
                <w:color w:val="000000"/>
                <w:szCs w:val="24"/>
              </w:rPr>
              <w:br/>
            </w:r>
            <w:r w:rsidRPr="00BE7793">
              <w:rPr>
                <w:b/>
                <w:color w:val="000000"/>
                <w:szCs w:val="24"/>
              </w:rPr>
              <w:br/>
              <w:t>Podpis dewelopera albo osoby upoważnionej do reprezentacji dewelopera</w:t>
            </w:r>
          </w:p>
        </w:tc>
      </w:tr>
      <w:tr w:rsidR="00D70000" w:rsidRPr="00BE7793" w14:paraId="36685D8D" w14:textId="77777777" w:rsidTr="00A3158C">
        <w:tblPrEx>
          <w:tblBorders>
            <w:top w:val="none" w:sz="0" w:space="0" w:color="auto"/>
            <w:left w:val="none" w:sz="0" w:space="0" w:color="auto"/>
            <w:bottom w:val="none" w:sz="0" w:space="0" w:color="auto"/>
            <w:right w:val="none" w:sz="0" w:space="0" w:color="auto"/>
          </w:tblBorders>
        </w:tblPrEx>
        <w:trPr>
          <w:gridAfter w:val="1"/>
          <w:wAfter w:w="1152" w:type="dxa"/>
          <w:trHeight w:val="30"/>
          <w:tblCellSpacing w:w="0" w:type="auto"/>
        </w:trPr>
        <w:tc>
          <w:tcPr>
            <w:tcW w:w="2976" w:type="dxa"/>
            <w:gridSpan w:val="2"/>
            <w:tcMar>
              <w:top w:w="15" w:type="dxa"/>
              <w:left w:w="15" w:type="dxa"/>
              <w:bottom w:w="15" w:type="dxa"/>
              <w:right w:w="15" w:type="dxa"/>
            </w:tcMar>
            <w:vAlign w:val="center"/>
          </w:tcPr>
          <w:p w14:paraId="346BE26D" w14:textId="77777777" w:rsidR="00D70000" w:rsidRPr="00BE7793" w:rsidRDefault="00D70000" w:rsidP="00A3158C">
            <w:pPr>
              <w:rPr>
                <w:szCs w:val="24"/>
              </w:rPr>
            </w:pPr>
          </w:p>
        </w:tc>
        <w:tc>
          <w:tcPr>
            <w:tcW w:w="6362" w:type="dxa"/>
            <w:gridSpan w:val="4"/>
            <w:tcMar>
              <w:top w:w="15" w:type="dxa"/>
              <w:left w:w="15" w:type="dxa"/>
              <w:bottom w:w="15" w:type="dxa"/>
              <w:right w:w="15" w:type="dxa"/>
            </w:tcMar>
            <w:vAlign w:val="center"/>
          </w:tcPr>
          <w:p w14:paraId="29DA4A7D" w14:textId="77777777" w:rsidR="00D70000" w:rsidRPr="00BE7793" w:rsidRDefault="00D70000" w:rsidP="00A3158C">
            <w:pPr>
              <w:spacing w:after="0"/>
              <w:jc w:val="right"/>
              <w:rPr>
                <w:szCs w:val="24"/>
              </w:rPr>
            </w:pPr>
            <w:r w:rsidRPr="00BE7793">
              <w:rPr>
                <w:b/>
                <w:color w:val="000000"/>
                <w:szCs w:val="24"/>
              </w:rPr>
              <w:t>.....................................................</w:t>
            </w:r>
          </w:p>
        </w:tc>
      </w:tr>
    </w:tbl>
    <w:p w14:paraId="5CD9B047" w14:textId="77777777" w:rsidR="00D70000" w:rsidRPr="00BE7793" w:rsidRDefault="00D70000" w:rsidP="00D70000">
      <w:pPr>
        <w:spacing w:before="25" w:after="0"/>
        <w:jc w:val="both"/>
        <w:rPr>
          <w:b/>
          <w:color w:val="000000"/>
          <w:szCs w:val="24"/>
        </w:rPr>
      </w:pPr>
    </w:p>
    <w:p w14:paraId="264C8DA1" w14:textId="77777777" w:rsidR="00D70000" w:rsidRPr="00B371F5" w:rsidRDefault="00D70000" w:rsidP="00D70000">
      <w:pPr>
        <w:spacing w:before="25" w:after="0"/>
        <w:jc w:val="both"/>
        <w:rPr>
          <w:sz w:val="16"/>
          <w:szCs w:val="16"/>
        </w:rPr>
      </w:pPr>
      <w:r w:rsidRPr="00B371F5">
        <w:rPr>
          <w:b/>
          <w:color w:val="000000"/>
          <w:sz w:val="16"/>
          <w:szCs w:val="16"/>
        </w:rPr>
        <w:t>Załączniki:</w:t>
      </w:r>
    </w:p>
    <w:p w14:paraId="61E21A4D" w14:textId="77777777" w:rsidR="00D70000" w:rsidRPr="00B371F5" w:rsidRDefault="00D70000" w:rsidP="00D70000">
      <w:pPr>
        <w:spacing w:before="25" w:after="0"/>
        <w:jc w:val="both"/>
        <w:rPr>
          <w:sz w:val="16"/>
          <w:szCs w:val="16"/>
        </w:rPr>
      </w:pPr>
      <w:r w:rsidRPr="00B371F5">
        <w:rPr>
          <w:color w:val="000000"/>
          <w:sz w:val="16"/>
          <w:szCs w:val="16"/>
        </w:rPr>
        <w:t>1. Rzut kondygnacji z zaznaczeniem lokalu mieszkalnego.</w:t>
      </w:r>
    </w:p>
    <w:p w14:paraId="3A17DA62" w14:textId="77777777" w:rsidR="00D70000" w:rsidRPr="00B371F5" w:rsidRDefault="00D70000" w:rsidP="00D70000">
      <w:pPr>
        <w:spacing w:before="25" w:after="0"/>
        <w:jc w:val="both"/>
        <w:rPr>
          <w:sz w:val="16"/>
          <w:szCs w:val="16"/>
        </w:rPr>
      </w:pPr>
      <w:r w:rsidRPr="00B371F5">
        <w:rPr>
          <w:color w:val="000000"/>
          <w:sz w:val="16"/>
          <w:szCs w:val="16"/>
        </w:rPr>
        <w:t xml:space="preserve">2. Wzór umowy deweloperskiej lub umowy, o której mowa w </w:t>
      </w:r>
      <w:r w:rsidRPr="00B371F5">
        <w:rPr>
          <w:color w:val="1B1B1B"/>
          <w:sz w:val="16"/>
          <w:szCs w:val="16"/>
        </w:rPr>
        <w:t>art. 2 ust. 1 pkt 2</w:t>
      </w:r>
      <w:r w:rsidRPr="00B371F5">
        <w:rPr>
          <w:color w:val="000000"/>
          <w:sz w:val="16"/>
          <w:szCs w:val="16"/>
        </w:rPr>
        <w:t xml:space="preserve">, </w:t>
      </w:r>
      <w:r w:rsidRPr="00B371F5">
        <w:rPr>
          <w:color w:val="1B1B1B"/>
          <w:sz w:val="16"/>
          <w:szCs w:val="16"/>
        </w:rPr>
        <w:t>3</w:t>
      </w:r>
      <w:r w:rsidRPr="00B371F5">
        <w:rPr>
          <w:color w:val="000000"/>
          <w:sz w:val="16"/>
          <w:szCs w:val="16"/>
        </w:rPr>
        <w:t xml:space="preserve"> lub </w:t>
      </w:r>
      <w:r w:rsidRPr="00B371F5">
        <w:rPr>
          <w:color w:val="1B1B1B"/>
          <w:sz w:val="16"/>
          <w:szCs w:val="16"/>
        </w:rPr>
        <w:t>5</w:t>
      </w:r>
      <w:r w:rsidRPr="00B371F5">
        <w:rPr>
          <w:color w:val="000000"/>
          <w:sz w:val="16"/>
          <w:szCs w:val="16"/>
        </w:rPr>
        <w:t xml:space="preserve"> ustawy z dnia 20 maja 2021 r. o ochronie praw nabywcy lokalu mieszkalnego lub domu jednorodzinnego oraz Deweloperskim Funduszu Gwarancyjnym.</w:t>
      </w:r>
    </w:p>
    <w:p w14:paraId="4021B659" w14:textId="77777777" w:rsidR="00D70000" w:rsidRPr="00B371F5" w:rsidRDefault="00D70000" w:rsidP="00D70000">
      <w:pPr>
        <w:spacing w:before="25" w:after="0"/>
        <w:jc w:val="both"/>
        <w:rPr>
          <w:color w:val="000000"/>
          <w:sz w:val="16"/>
          <w:szCs w:val="16"/>
        </w:rPr>
      </w:pPr>
      <w:r w:rsidRPr="00B371F5">
        <w:rPr>
          <w:color w:val="000000"/>
          <w:sz w:val="16"/>
          <w:szCs w:val="16"/>
        </w:rP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685D3884" w14:textId="77777777" w:rsidR="00D70000" w:rsidRPr="00B371F5" w:rsidRDefault="00D70000" w:rsidP="00D70000">
      <w:pPr>
        <w:spacing w:before="25" w:after="0"/>
        <w:jc w:val="both"/>
        <w:rPr>
          <w:color w:val="000000"/>
          <w:sz w:val="16"/>
          <w:szCs w:val="16"/>
        </w:rPr>
      </w:pPr>
      <w:r w:rsidRPr="00B371F5">
        <w:rPr>
          <w:color w:val="000000"/>
          <w:sz w:val="16"/>
          <w:szCs w:val="16"/>
        </w:rPr>
        <w:t>4.</w:t>
      </w:r>
      <w:r w:rsidRPr="00B371F5">
        <w:rPr>
          <w:sz w:val="16"/>
          <w:szCs w:val="16"/>
        </w:rPr>
        <w:t xml:space="preserve"> Standard wykończenia</w:t>
      </w:r>
    </w:p>
    <w:p w14:paraId="5B4E0508" w14:textId="77777777" w:rsidR="00D70000" w:rsidRPr="00B371F5" w:rsidRDefault="00D70000" w:rsidP="00D70000">
      <w:pPr>
        <w:spacing w:before="25" w:after="0"/>
        <w:jc w:val="both"/>
        <w:rPr>
          <w:sz w:val="16"/>
          <w:szCs w:val="16"/>
        </w:rPr>
      </w:pPr>
      <w:r w:rsidRPr="00B371F5">
        <w:rPr>
          <w:color w:val="000000"/>
          <w:sz w:val="16"/>
          <w:szCs w:val="16"/>
        </w:rPr>
        <w:t>5. Zasady Realizacji Zleceń Aranżacyjnych.</w:t>
      </w:r>
    </w:p>
    <w:p w14:paraId="5B23DF05" w14:textId="77777777" w:rsidR="00D70000" w:rsidRPr="00BE7793" w:rsidRDefault="00D70000" w:rsidP="00D70000">
      <w:pPr>
        <w:spacing w:after="0"/>
        <w:rPr>
          <w:szCs w:val="24"/>
        </w:rPr>
      </w:pPr>
    </w:p>
    <w:p w14:paraId="4BE8BB1E" w14:textId="77777777" w:rsidR="00D70000" w:rsidRPr="00DA5D02" w:rsidRDefault="00D70000" w:rsidP="00DA5D02">
      <w:pPr>
        <w:spacing w:before="25" w:after="0"/>
        <w:jc w:val="both"/>
        <w:rPr>
          <w:color w:val="000000"/>
          <w:sz w:val="20"/>
          <w:szCs w:val="20"/>
        </w:rPr>
      </w:pPr>
    </w:p>
    <w:sectPr w:rsidR="00D70000" w:rsidRPr="00DA5D02">
      <w:footerReference w:type="default" r:id="rId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C38D" w14:textId="77777777" w:rsidR="00940B5F" w:rsidRDefault="00940B5F" w:rsidP="00243285">
      <w:pPr>
        <w:spacing w:after="0" w:line="240" w:lineRule="auto"/>
      </w:pPr>
      <w:r>
        <w:separator/>
      </w:r>
    </w:p>
  </w:endnote>
  <w:endnote w:type="continuationSeparator" w:id="0">
    <w:p w14:paraId="0ABD54E3" w14:textId="77777777" w:rsidR="00940B5F" w:rsidRDefault="00940B5F" w:rsidP="0024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37153"/>
      <w:docPartObj>
        <w:docPartGallery w:val="Page Numbers (Bottom of Page)"/>
        <w:docPartUnique/>
      </w:docPartObj>
    </w:sdtPr>
    <w:sdtContent>
      <w:sdt>
        <w:sdtPr>
          <w:id w:val="-1769616900"/>
          <w:docPartObj>
            <w:docPartGallery w:val="Page Numbers (Top of Page)"/>
            <w:docPartUnique/>
          </w:docPartObj>
        </w:sdtPr>
        <w:sdtContent>
          <w:p w14:paraId="131BD9C4" w14:textId="544DAD59" w:rsidR="00243285" w:rsidRDefault="00243285">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2D85571" w14:textId="77777777" w:rsidR="00243285" w:rsidRDefault="002432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11C6" w14:textId="77777777" w:rsidR="00940B5F" w:rsidRDefault="00940B5F" w:rsidP="00243285">
      <w:pPr>
        <w:spacing w:after="0" w:line="240" w:lineRule="auto"/>
      </w:pPr>
      <w:r>
        <w:separator/>
      </w:r>
    </w:p>
  </w:footnote>
  <w:footnote w:type="continuationSeparator" w:id="0">
    <w:p w14:paraId="4D941714" w14:textId="77777777" w:rsidR="00940B5F" w:rsidRDefault="00940B5F" w:rsidP="0024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8F1"/>
    <w:multiLevelType w:val="hybridMultilevel"/>
    <w:tmpl w:val="51EC3A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C22E5"/>
    <w:multiLevelType w:val="hybridMultilevel"/>
    <w:tmpl w:val="EAC666A0"/>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3E728B"/>
    <w:multiLevelType w:val="hybridMultilevel"/>
    <w:tmpl w:val="A1F4BED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B0B586E"/>
    <w:multiLevelType w:val="hybridMultilevel"/>
    <w:tmpl w:val="99166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9B539B"/>
    <w:multiLevelType w:val="hybridMultilevel"/>
    <w:tmpl w:val="2A485EEE"/>
    <w:lvl w:ilvl="0" w:tplc="B3CE5CB8">
      <w:numFmt w:val="bullet"/>
      <w:lvlText w:val="–"/>
      <w:lvlJc w:val="left"/>
      <w:pPr>
        <w:ind w:left="360" w:hanging="360"/>
      </w:pPr>
      <w:rPr>
        <w:rFonts w:ascii="Century" w:eastAsia="Times New Roman" w:hAnsi="Century" w:cs="Times New Roman"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396726"/>
    <w:multiLevelType w:val="hybridMultilevel"/>
    <w:tmpl w:val="C3E24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AD35A3"/>
    <w:multiLevelType w:val="hybridMultilevel"/>
    <w:tmpl w:val="01D46EF2"/>
    <w:lvl w:ilvl="0" w:tplc="61DA7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E2F65"/>
    <w:multiLevelType w:val="hybridMultilevel"/>
    <w:tmpl w:val="E4FE9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C67E2D"/>
    <w:multiLevelType w:val="hybridMultilevel"/>
    <w:tmpl w:val="231EB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461443"/>
    <w:multiLevelType w:val="hybridMultilevel"/>
    <w:tmpl w:val="B420DBE4"/>
    <w:lvl w:ilvl="0" w:tplc="FFFFFFFF">
      <w:start w:val="1"/>
      <w:numFmt w:val="decimal"/>
      <w:lvlText w:val="%1)"/>
      <w:lvlJc w:val="left"/>
      <w:pPr>
        <w:ind w:left="1549" w:hanging="360"/>
      </w:pPr>
    </w:lvl>
    <w:lvl w:ilvl="1" w:tplc="FFFFFFFF" w:tentative="1">
      <w:start w:val="1"/>
      <w:numFmt w:val="lowerLetter"/>
      <w:lvlText w:val="%2."/>
      <w:lvlJc w:val="left"/>
      <w:pPr>
        <w:ind w:left="2269" w:hanging="360"/>
      </w:pPr>
    </w:lvl>
    <w:lvl w:ilvl="2" w:tplc="FFFFFFFF" w:tentative="1">
      <w:start w:val="1"/>
      <w:numFmt w:val="lowerRoman"/>
      <w:lvlText w:val="%3."/>
      <w:lvlJc w:val="right"/>
      <w:pPr>
        <w:ind w:left="2989" w:hanging="180"/>
      </w:pPr>
    </w:lvl>
    <w:lvl w:ilvl="3" w:tplc="FFFFFFFF" w:tentative="1">
      <w:start w:val="1"/>
      <w:numFmt w:val="decimal"/>
      <w:lvlText w:val="%4."/>
      <w:lvlJc w:val="left"/>
      <w:pPr>
        <w:ind w:left="3709" w:hanging="360"/>
      </w:pPr>
    </w:lvl>
    <w:lvl w:ilvl="4" w:tplc="FFFFFFFF" w:tentative="1">
      <w:start w:val="1"/>
      <w:numFmt w:val="lowerLetter"/>
      <w:lvlText w:val="%5."/>
      <w:lvlJc w:val="left"/>
      <w:pPr>
        <w:ind w:left="4429" w:hanging="360"/>
      </w:pPr>
    </w:lvl>
    <w:lvl w:ilvl="5" w:tplc="FFFFFFFF" w:tentative="1">
      <w:start w:val="1"/>
      <w:numFmt w:val="lowerRoman"/>
      <w:lvlText w:val="%6."/>
      <w:lvlJc w:val="right"/>
      <w:pPr>
        <w:ind w:left="5149" w:hanging="180"/>
      </w:pPr>
    </w:lvl>
    <w:lvl w:ilvl="6" w:tplc="FFFFFFFF" w:tentative="1">
      <w:start w:val="1"/>
      <w:numFmt w:val="decimal"/>
      <w:lvlText w:val="%7."/>
      <w:lvlJc w:val="left"/>
      <w:pPr>
        <w:ind w:left="5869" w:hanging="360"/>
      </w:pPr>
    </w:lvl>
    <w:lvl w:ilvl="7" w:tplc="FFFFFFFF" w:tentative="1">
      <w:start w:val="1"/>
      <w:numFmt w:val="lowerLetter"/>
      <w:lvlText w:val="%8."/>
      <w:lvlJc w:val="left"/>
      <w:pPr>
        <w:ind w:left="6589" w:hanging="360"/>
      </w:pPr>
    </w:lvl>
    <w:lvl w:ilvl="8" w:tplc="FFFFFFFF" w:tentative="1">
      <w:start w:val="1"/>
      <w:numFmt w:val="lowerRoman"/>
      <w:lvlText w:val="%9."/>
      <w:lvlJc w:val="right"/>
      <w:pPr>
        <w:ind w:left="7309" w:hanging="180"/>
      </w:pPr>
    </w:lvl>
  </w:abstractNum>
  <w:abstractNum w:abstractNumId="10" w15:restartNumberingAfterBreak="0">
    <w:nsid w:val="284F06BF"/>
    <w:multiLevelType w:val="hybridMultilevel"/>
    <w:tmpl w:val="792E59EC"/>
    <w:lvl w:ilvl="0" w:tplc="FFFFFFFF">
      <w:start w:val="1"/>
      <w:numFmt w:val="decimal"/>
      <w:lvlText w:val="%1)"/>
      <w:lvlJc w:val="left"/>
      <w:pPr>
        <w:ind w:left="1909" w:hanging="360"/>
      </w:pPr>
    </w:lvl>
    <w:lvl w:ilvl="1" w:tplc="FFFFFFFF" w:tentative="1">
      <w:start w:val="1"/>
      <w:numFmt w:val="lowerLetter"/>
      <w:lvlText w:val="%2."/>
      <w:lvlJc w:val="left"/>
      <w:pPr>
        <w:ind w:left="2629" w:hanging="360"/>
      </w:pPr>
    </w:lvl>
    <w:lvl w:ilvl="2" w:tplc="FFFFFFFF" w:tentative="1">
      <w:start w:val="1"/>
      <w:numFmt w:val="lowerRoman"/>
      <w:lvlText w:val="%3."/>
      <w:lvlJc w:val="right"/>
      <w:pPr>
        <w:ind w:left="3349" w:hanging="180"/>
      </w:pPr>
    </w:lvl>
    <w:lvl w:ilvl="3" w:tplc="FFFFFFFF" w:tentative="1">
      <w:start w:val="1"/>
      <w:numFmt w:val="decimal"/>
      <w:lvlText w:val="%4."/>
      <w:lvlJc w:val="left"/>
      <w:pPr>
        <w:ind w:left="4069" w:hanging="360"/>
      </w:pPr>
    </w:lvl>
    <w:lvl w:ilvl="4" w:tplc="FFFFFFFF" w:tentative="1">
      <w:start w:val="1"/>
      <w:numFmt w:val="lowerLetter"/>
      <w:lvlText w:val="%5."/>
      <w:lvlJc w:val="left"/>
      <w:pPr>
        <w:ind w:left="4789" w:hanging="360"/>
      </w:pPr>
    </w:lvl>
    <w:lvl w:ilvl="5" w:tplc="FFFFFFFF" w:tentative="1">
      <w:start w:val="1"/>
      <w:numFmt w:val="lowerRoman"/>
      <w:lvlText w:val="%6."/>
      <w:lvlJc w:val="right"/>
      <w:pPr>
        <w:ind w:left="5509" w:hanging="180"/>
      </w:pPr>
    </w:lvl>
    <w:lvl w:ilvl="6" w:tplc="FFFFFFFF" w:tentative="1">
      <w:start w:val="1"/>
      <w:numFmt w:val="decimal"/>
      <w:lvlText w:val="%7."/>
      <w:lvlJc w:val="left"/>
      <w:pPr>
        <w:ind w:left="6229" w:hanging="360"/>
      </w:pPr>
    </w:lvl>
    <w:lvl w:ilvl="7" w:tplc="FFFFFFFF" w:tentative="1">
      <w:start w:val="1"/>
      <w:numFmt w:val="lowerLetter"/>
      <w:lvlText w:val="%8."/>
      <w:lvlJc w:val="left"/>
      <w:pPr>
        <w:ind w:left="6949" w:hanging="360"/>
      </w:pPr>
    </w:lvl>
    <w:lvl w:ilvl="8" w:tplc="FFFFFFFF" w:tentative="1">
      <w:start w:val="1"/>
      <w:numFmt w:val="lowerRoman"/>
      <w:lvlText w:val="%9."/>
      <w:lvlJc w:val="right"/>
      <w:pPr>
        <w:ind w:left="7669" w:hanging="180"/>
      </w:pPr>
    </w:lvl>
  </w:abstractNum>
  <w:abstractNum w:abstractNumId="11" w15:restartNumberingAfterBreak="0">
    <w:nsid w:val="29210629"/>
    <w:multiLevelType w:val="hybridMultilevel"/>
    <w:tmpl w:val="F48641C6"/>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2F5E7178"/>
    <w:multiLevelType w:val="hybridMultilevel"/>
    <w:tmpl w:val="455071B6"/>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2F772131"/>
    <w:multiLevelType w:val="hybridMultilevel"/>
    <w:tmpl w:val="4712E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D3079"/>
    <w:multiLevelType w:val="hybridMultilevel"/>
    <w:tmpl w:val="22FA3F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BF50FF"/>
    <w:multiLevelType w:val="hybridMultilevel"/>
    <w:tmpl w:val="122EEDBE"/>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 w15:restartNumberingAfterBreak="0">
    <w:nsid w:val="39DE4C40"/>
    <w:multiLevelType w:val="hybridMultilevel"/>
    <w:tmpl w:val="5A3C0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0D1CCE"/>
    <w:multiLevelType w:val="hybridMultilevel"/>
    <w:tmpl w:val="E3943F82"/>
    <w:lvl w:ilvl="0" w:tplc="E41213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2F62C8"/>
    <w:multiLevelType w:val="hybridMultilevel"/>
    <w:tmpl w:val="B1CA2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5F4296"/>
    <w:multiLevelType w:val="hybridMultilevel"/>
    <w:tmpl w:val="792E59EC"/>
    <w:lvl w:ilvl="0" w:tplc="04150011">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20" w15:restartNumberingAfterBreak="0">
    <w:nsid w:val="47F251DB"/>
    <w:multiLevelType w:val="multilevel"/>
    <w:tmpl w:val="06763968"/>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5A4BCD"/>
    <w:multiLevelType w:val="hybridMultilevel"/>
    <w:tmpl w:val="5F2C9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411DE"/>
    <w:multiLevelType w:val="hybridMultilevel"/>
    <w:tmpl w:val="F7E48132"/>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420301"/>
    <w:multiLevelType w:val="hybridMultilevel"/>
    <w:tmpl w:val="019C400A"/>
    <w:lvl w:ilvl="0" w:tplc="EB5E31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3855093"/>
    <w:multiLevelType w:val="hybridMultilevel"/>
    <w:tmpl w:val="A3B4CF7E"/>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5" w15:restartNumberingAfterBreak="0">
    <w:nsid w:val="554048B2"/>
    <w:multiLevelType w:val="hybridMultilevel"/>
    <w:tmpl w:val="697C1F2A"/>
    <w:numStyleLink w:val="Zaimportowanystyl17"/>
  </w:abstractNum>
  <w:abstractNum w:abstractNumId="26" w15:restartNumberingAfterBreak="0">
    <w:nsid w:val="571624A3"/>
    <w:multiLevelType w:val="hybridMultilevel"/>
    <w:tmpl w:val="DB70F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BF617A"/>
    <w:multiLevelType w:val="hybridMultilevel"/>
    <w:tmpl w:val="7DD284F4"/>
    <w:lvl w:ilvl="0" w:tplc="9ABEF290">
      <w:start w:val="1"/>
      <w:numFmt w:val="upperRoman"/>
      <w:lvlText w:val="%1."/>
      <w:lvlJc w:val="left"/>
      <w:pPr>
        <w:ind w:left="720" w:hanging="360"/>
      </w:pPr>
      <w:rPr>
        <w:rFonts w:ascii="Century" w:hAnsi="Century"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D0266"/>
    <w:multiLevelType w:val="hybridMultilevel"/>
    <w:tmpl w:val="697C1F2A"/>
    <w:styleLink w:val="Zaimportowanystyl17"/>
    <w:lvl w:ilvl="0" w:tplc="D0CE2BCC">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0E986A">
      <w:start w:val="1"/>
      <w:numFmt w:val="decimal"/>
      <w:lvlText w:val="%2."/>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20AA9E">
      <w:start w:val="1"/>
      <w:numFmt w:val="decimal"/>
      <w:lvlText w:val="%3."/>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6E2C6E">
      <w:start w:val="1"/>
      <w:numFmt w:val="decimal"/>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4C86E">
      <w:start w:val="1"/>
      <w:numFmt w:val="decimal"/>
      <w:lvlText w:val="%5."/>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E06408">
      <w:start w:val="1"/>
      <w:numFmt w:val="decimal"/>
      <w:lvlText w:val="%6."/>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3CC4CE">
      <w:start w:val="1"/>
      <w:numFmt w:val="decimal"/>
      <w:lvlText w:val="%7."/>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AE109A">
      <w:start w:val="1"/>
      <w:numFmt w:val="decimal"/>
      <w:lvlText w:val="%8."/>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5CEE66">
      <w:start w:val="1"/>
      <w:numFmt w:val="decimal"/>
      <w:lvlText w:val="%9."/>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0B7936"/>
    <w:multiLevelType w:val="hybridMultilevel"/>
    <w:tmpl w:val="D70C6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2A2B69"/>
    <w:multiLevelType w:val="hybridMultilevel"/>
    <w:tmpl w:val="16226B3C"/>
    <w:lvl w:ilvl="0" w:tplc="D1C86142">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C12BDB"/>
    <w:multiLevelType w:val="hybridMultilevel"/>
    <w:tmpl w:val="455071B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6FC35A55"/>
    <w:multiLevelType w:val="hybridMultilevel"/>
    <w:tmpl w:val="51EC3A58"/>
    <w:lvl w:ilvl="0" w:tplc="0780F5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A80821"/>
    <w:multiLevelType w:val="hybridMultilevel"/>
    <w:tmpl w:val="223E2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083B14"/>
    <w:multiLevelType w:val="hybridMultilevel"/>
    <w:tmpl w:val="3848B324"/>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7B727B"/>
    <w:multiLevelType w:val="hybridMultilevel"/>
    <w:tmpl w:val="68A29786"/>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6" w15:restartNumberingAfterBreak="0">
    <w:nsid w:val="7A7B1676"/>
    <w:multiLevelType w:val="hybridMultilevel"/>
    <w:tmpl w:val="F26003E0"/>
    <w:lvl w:ilvl="0" w:tplc="E18C3C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C260E9E"/>
    <w:multiLevelType w:val="hybridMultilevel"/>
    <w:tmpl w:val="1DDAABD4"/>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6856258">
    <w:abstractNumId w:val="20"/>
  </w:num>
  <w:num w:numId="2" w16cid:durableId="1848978365">
    <w:abstractNumId w:val="16"/>
  </w:num>
  <w:num w:numId="3" w16cid:durableId="1336610106">
    <w:abstractNumId w:val="13"/>
  </w:num>
  <w:num w:numId="4" w16cid:durableId="15666349">
    <w:abstractNumId w:val="23"/>
  </w:num>
  <w:num w:numId="5" w16cid:durableId="1680738700">
    <w:abstractNumId w:val="36"/>
  </w:num>
  <w:num w:numId="6" w16cid:durableId="33383466">
    <w:abstractNumId w:val="26"/>
  </w:num>
  <w:num w:numId="7" w16cid:durableId="586615267">
    <w:abstractNumId w:val="32"/>
  </w:num>
  <w:num w:numId="8" w16cid:durableId="1396662714">
    <w:abstractNumId w:val="17"/>
  </w:num>
  <w:num w:numId="9" w16cid:durableId="839268986">
    <w:abstractNumId w:val="4"/>
  </w:num>
  <w:num w:numId="10" w16cid:durableId="1876431139">
    <w:abstractNumId w:val="19"/>
  </w:num>
  <w:num w:numId="11" w16cid:durableId="779688533">
    <w:abstractNumId w:val="27"/>
  </w:num>
  <w:num w:numId="12" w16cid:durableId="2021542328">
    <w:abstractNumId w:val="10"/>
  </w:num>
  <w:num w:numId="13" w16cid:durableId="1980188399">
    <w:abstractNumId w:val="33"/>
  </w:num>
  <w:num w:numId="14" w16cid:durableId="164247175">
    <w:abstractNumId w:val="9"/>
  </w:num>
  <w:num w:numId="15" w16cid:durableId="2098598560">
    <w:abstractNumId w:val="37"/>
  </w:num>
  <w:num w:numId="16" w16cid:durableId="732700450">
    <w:abstractNumId w:val="2"/>
  </w:num>
  <w:num w:numId="17" w16cid:durableId="1193882075">
    <w:abstractNumId w:val="29"/>
  </w:num>
  <w:num w:numId="18" w16cid:durableId="1395271897">
    <w:abstractNumId w:val="18"/>
  </w:num>
  <w:num w:numId="19" w16cid:durableId="986087196">
    <w:abstractNumId w:val="7"/>
  </w:num>
  <w:num w:numId="20" w16cid:durableId="303854823">
    <w:abstractNumId w:val="5"/>
  </w:num>
  <w:num w:numId="21" w16cid:durableId="769735830">
    <w:abstractNumId w:val="3"/>
  </w:num>
  <w:num w:numId="22" w16cid:durableId="618147716">
    <w:abstractNumId w:val="34"/>
  </w:num>
  <w:num w:numId="23" w16cid:durableId="1692490447">
    <w:abstractNumId w:val="1"/>
  </w:num>
  <w:num w:numId="24" w16cid:durableId="851531911">
    <w:abstractNumId w:val="22"/>
  </w:num>
  <w:num w:numId="25" w16cid:durableId="256796496">
    <w:abstractNumId w:val="11"/>
  </w:num>
  <w:num w:numId="26" w16cid:durableId="743145112">
    <w:abstractNumId w:val="24"/>
  </w:num>
  <w:num w:numId="27" w16cid:durableId="1686639130">
    <w:abstractNumId w:val="15"/>
  </w:num>
  <w:num w:numId="28" w16cid:durableId="352878213">
    <w:abstractNumId w:val="35"/>
  </w:num>
  <w:num w:numId="29" w16cid:durableId="85271925">
    <w:abstractNumId w:val="6"/>
  </w:num>
  <w:num w:numId="30" w16cid:durableId="1421678921">
    <w:abstractNumId w:val="31"/>
  </w:num>
  <w:num w:numId="31" w16cid:durableId="680202443">
    <w:abstractNumId w:val="28"/>
  </w:num>
  <w:num w:numId="32" w16cid:durableId="183834134">
    <w:abstractNumId w:val="25"/>
    <w:lvlOverride w:ilvl="0">
      <w:lvl w:ilvl="0" w:tplc="E97CE97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F631E0">
        <w:start w:val="1"/>
        <w:numFmt w:val="decimal"/>
        <w:lvlText w:val="%2."/>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3AB64A">
        <w:start w:val="1"/>
        <w:numFmt w:val="decimal"/>
        <w:lvlText w:val="%3."/>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E0EFA8">
        <w:start w:val="1"/>
        <w:numFmt w:val="decimal"/>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70031C">
        <w:start w:val="1"/>
        <w:numFmt w:val="decimal"/>
        <w:lvlText w:val="%5."/>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5210C4">
        <w:start w:val="1"/>
        <w:numFmt w:val="decimal"/>
        <w:lvlText w:val="%6."/>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F4B770">
        <w:start w:val="1"/>
        <w:numFmt w:val="decimal"/>
        <w:lvlText w:val="%7."/>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A664A8">
        <w:start w:val="1"/>
        <w:numFmt w:val="decimal"/>
        <w:lvlText w:val="%8."/>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C68A8A">
        <w:start w:val="1"/>
        <w:numFmt w:val="decimal"/>
        <w:lvlText w:val="%9."/>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868908718">
    <w:abstractNumId w:val="12"/>
  </w:num>
  <w:num w:numId="34" w16cid:durableId="1368679260">
    <w:abstractNumId w:val="8"/>
  </w:num>
  <w:num w:numId="35" w16cid:durableId="630673010">
    <w:abstractNumId w:val="25"/>
  </w:num>
  <w:num w:numId="36" w16cid:durableId="1564368981">
    <w:abstractNumId w:val="30"/>
  </w:num>
  <w:num w:numId="37" w16cid:durableId="1856923462">
    <w:abstractNumId w:val="14"/>
  </w:num>
  <w:num w:numId="38" w16cid:durableId="2101638549">
    <w:abstractNumId w:val="21"/>
  </w:num>
  <w:num w:numId="39" w16cid:durableId="38059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2"/>
    <w:rsid w:val="00031BE4"/>
    <w:rsid w:val="00032363"/>
    <w:rsid w:val="00040F35"/>
    <w:rsid w:val="00053E97"/>
    <w:rsid w:val="000603F2"/>
    <w:rsid w:val="0008511D"/>
    <w:rsid w:val="000A06AE"/>
    <w:rsid w:val="000A0A1D"/>
    <w:rsid w:val="000A0D09"/>
    <w:rsid w:val="00106836"/>
    <w:rsid w:val="0011438A"/>
    <w:rsid w:val="00125CB2"/>
    <w:rsid w:val="00150A11"/>
    <w:rsid w:val="00157B5F"/>
    <w:rsid w:val="001740CC"/>
    <w:rsid w:val="00192A57"/>
    <w:rsid w:val="001A4A8E"/>
    <w:rsid w:val="001A528E"/>
    <w:rsid w:val="001A53D6"/>
    <w:rsid w:val="001B721E"/>
    <w:rsid w:val="001C3CF8"/>
    <w:rsid w:val="001C59C1"/>
    <w:rsid w:val="001D1CE7"/>
    <w:rsid w:val="001D4BD5"/>
    <w:rsid w:val="001D6CEA"/>
    <w:rsid w:val="001E5696"/>
    <w:rsid w:val="001F41DA"/>
    <w:rsid w:val="001F7573"/>
    <w:rsid w:val="00220EAA"/>
    <w:rsid w:val="00226F29"/>
    <w:rsid w:val="00242B21"/>
    <w:rsid w:val="00242ED0"/>
    <w:rsid w:val="00243285"/>
    <w:rsid w:val="00265700"/>
    <w:rsid w:val="002667C4"/>
    <w:rsid w:val="00273D30"/>
    <w:rsid w:val="002842D1"/>
    <w:rsid w:val="00290300"/>
    <w:rsid w:val="00294CA2"/>
    <w:rsid w:val="002A1BCC"/>
    <w:rsid w:val="002A3703"/>
    <w:rsid w:val="002B0A08"/>
    <w:rsid w:val="002F11D1"/>
    <w:rsid w:val="002F262B"/>
    <w:rsid w:val="00301D45"/>
    <w:rsid w:val="003149BE"/>
    <w:rsid w:val="003155F7"/>
    <w:rsid w:val="00320A39"/>
    <w:rsid w:val="00334229"/>
    <w:rsid w:val="00345502"/>
    <w:rsid w:val="00350833"/>
    <w:rsid w:val="0035341E"/>
    <w:rsid w:val="00357986"/>
    <w:rsid w:val="00365B05"/>
    <w:rsid w:val="00365D1D"/>
    <w:rsid w:val="0037024F"/>
    <w:rsid w:val="00370A95"/>
    <w:rsid w:val="00372DEC"/>
    <w:rsid w:val="003928F8"/>
    <w:rsid w:val="003A6ABB"/>
    <w:rsid w:val="003B5BA1"/>
    <w:rsid w:val="003C49EC"/>
    <w:rsid w:val="003C5A0F"/>
    <w:rsid w:val="003E584A"/>
    <w:rsid w:val="003F06A8"/>
    <w:rsid w:val="003F2D44"/>
    <w:rsid w:val="00402162"/>
    <w:rsid w:val="00412258"/>
    <w:rsid w:val="00414186"/>
    <w:rsid w:val="004151A2"/>
    <w:rsid w:val="004269AE"/>
    <w:rsid w:val="00432711"/>
    <w:rsid w:val="00441B07"/>
    <w:rsid w:val="0046470F"/>
    <w:rsid w:val="0047344C"/>
    <w:rsid w:val="00476BA6"/>
    <w:rsid w:val="00483715"/>
    <w:rsid w:val="004848D6"/>
    <w:rsid w:val="00485339"/>
    <w:rsid w:val="004B767D"/>
    <w:rsid w:val="004C1EE0"/>
    <w:rsid w:val="004C3A44"/>
    <w:rsid w:val="004D223F"/>
    <w:rsid w:val="004D6D7A"/>
    <w:rsid w:val="004E0CA5"/>
    <w:rsid w:val="004E213F"/>
    <w:rsid w:val="004E37C7"/>
    <w:rsid w:val="004E6657"/>
    <w:rsid w:val="004F0AAF"/>
    <w:rsid w:val="0050043B"/>
    <w:rsid w:val="00502F10"/>
    <w:rsid w:val="005120A7"/>
    <w:rsid w:val="0051389C"/>
    <w:rsid w:val="005313C8"/>
    <w:rsid w:val="005340F4"/>
    <w:rsid w:val="00554D6C"/>
    <w:rsid w:val="0057027B"/>
    <w:rsid w:val="00572A49"/>
    <w:rsid w:val="00573A63"/>
    <w:rsid w:val="00577317"/>
    <w:rsid w:val="005803FE"/>
    <w:rsid w:val="005806FD"/>
    <w:rsid w:val="005837A8"/>
    <w:rsid w:val="00594BB7"/>
    <w:rsid w:val="005A4243"/>
    <w:rsid w:val="005A7A5B"/>
    <w:rsid w:val="005D6565"/>
    <w:rsid w:val="005E0CD9"/>
    <w:rsid w:val="005E20B2"/>
    <w:rsid w:val="005F0994"/>
    <w:rsid w:val="00605647"/>
    <w:rsid w:val="00605883"/>
    <w:rsid w:val="00616A34"/>
    <w:rsid w:val="0061707B"/>
    <w:rsid w:val="006213E6"/>
    <w:rsid w:val="0063551E"/>
    <w:rsid w:val="006636A7"/>
    <w:rsid w:val="006817E9"/>
    <w:rsid w:val="006A4A8C"/>
    <w:rsid w:val="006A58E7"/>
    <w:rsid w:val="006A6503"/>
    <w:rsid w:val="006A68DC"/>
    <w:rsid w:val="006B3552"/>
    <w:rsid w:val="006B4A0B"/>
    <w:rsid w:val="006B7F0B"/>
    <w:rsid w:val="0070340B"/>
    <w:rsid w:val="00732E11"/>
    <w:rsid w:val="00736CD1"/>
    <w:rsid w:val="00736FB6"/>
    <w:rsid w:val="0074393B"/>
    <w:rsid w:val="00746918"/>
    <w:rsid w:val="007469D2"/>
    <w:rsid w:val="007523E3"/>
    <w:rsid w:val="0077461D"/>
    <w:rsid w:val="007B0A31"/>
    <w:rsid w:val="007B5991"/>
    <w:rsid w:val="007D0662"/>
    <w:rsid w:val="007E535E"/>
    <w:rsid w:val="0085444C"/>
    <w:rsid w:val="00854A5A"/>
    <w:rsid w:val="008B61FA"/>
    <w:rsid w:val="008B7464"/>
    <w:rsid w:val="008C61C3"/>
    <w:rsid w:val="008D5DDB"/>
    <w:rsid w:val="008E3CEF"/>
    <w:rsid w:val="008F593B"/>
    <w:rsid w:val="008F6F2F"/>
    <w:rsid w:val="0091698C"/>
    <w:rsid w:val="00917026"/>
    <w:rsid w:val="00934EF6"/>
    <w:rsid w:val="00940B5F"/>
    <w:rsid w:val="009579FB"/>
    <w:rsid w:val="00957B7B"/>
    <w:rsid w:val="009711DA"/>
    <w:rsid w:val="00975AE4"/>
    <w:rsid w:val="00990115"/>
    <w:rsid w:val="0099607E"/>
    <w:rsid w:val="009B29D6"/>
    <w:rsid w:val="009B3D32"/>
    <w:rsid w:val="009B4564"/>
    <w:rsid w:val="009B62E3"/>
    <w:rsid w:val="009D17B1"/>
    <w:rsid w:val="009E1C00"/>
    <w:rsid w:val="009F55E0"/>
    <w:rsid w:val="00A022BE"/>
    <w:rsid w:val="00A05371"/>
    <w:rsid w:val="00A05FC4"/>
    <w:rsid w:val="00A0793F"/>
    <w:rsid w:val="00A10869"/>
    <w:rsid w:val="00A166AA"/>
    <w:rsid w:val="00A21C5C"/>
    <w:rsid w:val="00A21FBD"/>
    <w:rsid w:val="00A3223C"/>
    <w:rsid w:val="00A4275B"/>
    <w:rsid w:val="00A52400"/>
    <w:rsid w:val="00A54CCB"/>
    <w:rsid w:val="00A550CD"/>
    <w:rsid w:val="00A55B33"/>
    <w:rsid w:val="00A56C54"/>
    <w:rsid w:val="00A6104D"/>
    <w:rsid w:val="00A628F9"/>
    <w:rsid w:val="00A7161E"/>
    <w:rsid w:val="00AA3699"/>
    <w:rsid w:val="00AA7DAA"/>
    <w:rsid w:val="00AB033C"/>
    <w:rsid w:val="00AB4B97"/>
    <w:rsid w:val="00AE138C"/>
    <w:rsid w:val="00AF0733"/>
    <w:rsid w:val="00B1364E"/>
    <w:rsid w:val="00B371F5"/>
    <w:rsid w:val="00B37693"/>
    <w:rsid w:val="00B5005A"/>
    <w:rsid w:val="00B65477"/>
    <w:rsid w:val="00B66DAD"/>
    <w:rsid w:val="00B84A6E"/>
    <w:rsid w:val="00B93ABC"/>
    <w:rsid w:val="00BB2F8F"/>
    <w:rsid w:val="00BC2BA5"/>
    <w:rsid w:val="00BD1646"/>
    <w:rsid w:val="00BD1A95"/>
    <w:rsid w:val="00BD6526"/>
    <w:rsid w:val="00BE27A1"/>
    <w:rsid w:val="00BE3BCE"/>
    <w:rsid w:val="00BE4DBA"/>
    <w:rsid w:val="00BE7793"/>
    <w:rsid w:val="00BF2A47"/>
    <w:rsid w:val="00BF626F"/>
    <w:rsid w:val="00C019E3"/>
    <w:rsid w:val="00C109C8"/>
    <w:rsid w:val="00C151C9"/>
    <w:rsid w:val="00C2537D"/>
    <w:rsid w:val="00C263A8"/>
    <w:rsid w:val="00C40A3B"/>
    <w:rsid w:val="00C40AB4"/>
    <w:rsid w:val="00C53836"/>
    <w:rsid w:val="00C5547D"/>
    <w:rsid w:val="00C609C3"/>
    <w:rsid w:val="00C65928"/>
    <w:rsid w:val="00C92F28"/>
    <w:rsid w:val="00CB65D7"/>
    <w:rsid w:val="00CC57AE"/>
    <w:rsid w:val="00CD267A"/>
    <w:rsid w:val="00CE6F06"/>
    <w:rsid w:val="00D010E2"/>
    <w:rsid w:val="00D12240"/>
    <w:rsid w:val="00D12B0B"/>
    <w:rsid w:val="00D17C83"/>
    <w:rsid w:val="00D345B3"/>
    <w:rsid w:val="00D45E71"/>
    <w:rsid w:val="00D62400"/>
    <w:rsid w:val="00D640F0"/>
    <w:rsid w:val="00D652EA"/>
    <w:rsid w:val="00D65429"/>
    <w:rsid w:val="00D70000"/>
    <w:rsid w:val="00D75EF8"/>
    <w:rsid w:val="00D77BE3"/>
    <w:rsid w:val="00D8415C"/>
    <w:rsid w:val="00D926D6"/>
    <w:rsid w:val="00D94444"/>
    <w:rsid w:val="00D95285"/>
    <w:rsid w:val="00DA1AEE"/>
    <w:rsid w:val="00DA5D02"/>
    <w:rsid w:val="00DA653D"/>
    <w:rsid w:val="00DB1CCF"/>
    <w:rsid w:val="00DC72F8"/>
    <w:rsid w:val="00DD5BC2"/>
    <w:rsid w:val="00DE4F57"/>
    <w:rsid w:val="00E06B43"/>
    <w:rsid w:val="00E12128"/>
    <w:rsid w:val="00E12EEC"/>
    <w:rsid w:val="00E13998"/>
    <w:rsid w:val="00E251B1"/>
    <w:rsid w:val="00E32014"/>
    <w:rsid w:val="00E33F8A"/>
    <w:rsid w:val="00E36BC5"/>
    <w:rsid w:val="00E4262B"/>
    <w:rsid w:val="00E430BA"/>
    <w:rsid w:val="00E46089"/>
    <w:rsid w:val="00E54295"/>
    <w:rsid w:val="00E54BED"/>
    <w:rsid w:val="00E56CCD"/>
    <w:rsid w:val="00E603A1"/>
    <w:rsid w:val="00E621DF"/>
    <w:rsid w:val="00E95BA8"/>
    <w:rsid w:val="00EB07FB"/>
    <w:rsid w:val="00EC00C6"/>
    <w:rsid w:val="00EC3762"/>
    <w:rsid w:val="00EF5017"/>
    <w:rsid w:val="00F17069"/>
    <w:rsid w:val="00F407FC"/>
    <w:rsid w:val="00F45436"/>
    <w:rsid w:val="00F47984"/>
    <w:rsid w:val="00F53CDD"/>
    <w:rsid w:val="00F55ECA"/>
    <w:rsid w:val="00F82F50"/>
    <w:rsid w:val="00F87628"/>
    <w:rsid w:val="00F926FE"/>
    <w:rsid w:val="00F94BBE"/>
    <w:rsid w:val="00FA4805"/>
    <w:rsid w:val="00FA5B6B"/>
    <w:rsid w:val="00FE2487"/>
    <w:rsid w:val="00FF0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164F"/>
  <w15:docId w15:val="{E842FB18-CDAA-4926-996B-46320D26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Zwykytekst">
    <w:name w:val="Plain Text"/>
    <w:basedOn w:val="Normalny"/>
    <w:link w:val="ZwykytekstZnak"/>
    <w:uiPriority w:val="99"/>
    <w:semiHidden/>
    <w:unhideWhenUsed/>
    <w:rsid w:val="00E4262B"/>
    <w:pPr>
      <w:spacing w:after="0" w:line="240" w:lineRule="auto"/>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E4262B"/>
    <w:rPr>
      <w:rFonts w:ascii="Calibri" w:eastAsia="Calibri" w:hAnsi="Calibri" w:cs="Times New Roman"/>
      <w:sz w:val="22"/>
      <w:szCs w:val="21"/>
      <w:lang w:eastAsia="en-US"/>
    </w:rPr>
  </w:style>
  <w:style w:type="paragraph" w:styleId="Stopka">
    <w:name w:val="footer"/>
    <w:basedOn w:val="Normalny"/>
    <w:link w:val="StopkaZnak"/>
    <w:uiPriority w:val="99"/>
    <w:unhideWhenUsed/>
    <w:rsid w:val="00243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285"/>
    <w:rPr>
      <w:rFonts w:ascii="Times New Roman" w:eastAsia="Times New Roman" w:hAnsi="Times New Roman" w:cs="Times New Roman"/>
    </w:rPr>
  </w:style>
  <w:style w:type="paragraph" w:styleId="Akapitzlist">
    <w:name w:val="List Paragraph"/>
    <w:basedOn w:val="Normalny"/>
    <w:unhideWhenUsed/>
    <w:qFormat/>
    <w:rsid w:val="004B767D"/>
    <w:pPr>
      <w:ind w:left="720"/>
      <w:contextualSpacing/>
    </w:pPr>
  </w:style>
  <w:style w:type="paragraph" w:styleId="Tekstprzypisukocowego">
    <w:name w:val="endnote text"/>
    <w:basedOn w:val="Normalny"/>
    <w:link w:val="TekstprzypisukocowegoZnak"/>
    <w:uiPriority w:val="99"/>
    <w:semiHidden/>
    <w:unhideWhenUsed/>
    <w:rsid w:val="00D841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415C"/>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D8415C"/>
    <w:rPr>
      <w:vertAlign w:val="superscript"/>
    </w:rPr>
  </w:style>
  <w:style w:type="character" w:styleId="Odwoaniedokomentarza">
    <w:name w:val="annotation reference"/>
    <w:rsid w:val="00242ED0"/>
    <w:rPr>
      <w:sz w:val="16"/>
      <w:szCs w:val="16"/>
    </w:rPr>
  </w:style>
  <w:style w:type="paragraph" w:styleId="Tekstkomentarza">
    <w:name w:val="annotation text"/>
    <w:basedOn w:val="Normalny"/>
    <w:link w:val="TekstkomentarzaZnak"/>
    <w:rsid w:val="00242ED0"/>
    <w:pPr>
      <w:spacing w:after="0" w:line="240" w:lineRule="auto"/>
    </w:pPr>
    <w:rPr>
      <w:sz w:val="20"/>
      <w:szCs w:val="20"/>
    </w:rPr>
  </w:style>
  <w:style w:type="character" w:customStyle="1" w:styleId="TekstkomentarzaZnak">
    <w:name w:val="Tekst komentarza Znak"/>
    <w:basedOn w:val="Domylnaczcionkaakapitu"/>
    <w:link w:val="Tekstkomentarza"/>
    <w:rsid w:val="00242ED0"/>
    <w:rPr>
      <w:rFonts w:ascii="Times New Roman" w:eastAsia="Times New Roman" w:hAnsi="Times New Roman" w:cs="Times New Roman"/>
      <w:sz w:val="20"/>
      <w:szCs w:val="20"/>
    </w:rPr>
  </w:style>
  <w:style w:type="numbering" w:customStyle="1" w:styleId="Zaimportowanystyl17">
    <w:name w:val="Zaimportowany styl 17"/>
    <w:rsid w:val="00242ED0"/>
    <w:pPr>
      <w:numPr>
        <w:numId w:val="31"/>
      </w:numPr>
    </w:pPr>
  </w:style>
  <w:style w:type="character" w:styleId="Numerstrony">
    <w:name w:val="page number"/>
    <w:basedOn w:val="Domylnaczcionkaakapitu"/>
    <w:unhideWhenUsed/>
    <w:rsid w:val="00E0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9195">
      <w:bodyDiv w:val="1"/>
      <w:marLeft w:val="0"/>
      <w:marRight w:val="0"/>
      <w:marTop w:val="0"/>
      <w:marBottom w:val="0"/>
      <w:divBdr>
        <w:top w:val="none" w:sz="0" w:space="0" w:color="auto"/>
        <w:left w:val="none" w:sz="0" w:space="0" w:color="auto"/>
        <w:bottom w:val="none" w:sz="0" w:space="0" w:color="auto"/>
        <w:right w:val="none" w:sz="0" w:space="0" w:color="auto"/>
      </w:divBdr>
    </w:div>
    <w:div w:id="631637207">
      <w:bodyDiv w:val="1"/>
      <w:marLeft w:val="0"/>
      <w:marRight w:val="0"/>
      <w:marTop w:val="0"/>
      <w:marBottom w:val="0"/>
      <w:divBdr>
        <w:top w:val="none" w:sz="0" w:space="0" w:color="auto"/>
        <w:left w:val="none" w:sz="0" w:space="0" w:color="auto"/>
        <w:bottom w:val="none" w:sz="0" w:space="0" w:color="auto"/>
        <w:right w:val="none" w:sz="0" w:space="0" w:color="auto"/>
      </w:divBdr>
    </w:div>
    <w:div w:id="690108370">
      <w:bodyDiv w:val="1"/>
      <w:marLeft w:val="0"/>
      <w:marRight w:val="0"/>
      <w:marTop w:val="0"/>
      <w:marBottom w:val="0"/>
      <w:divBdr>
        <w:top w:val="none" w:sz="0" w:space="0" w:color="auto"/>
        <w:left w:val="none" w:sz="0" w:space="0" w:color="auto"/>
        <w:bottom w:val="none" w:sz="0" w:space="0" w:color="auto"/>
        <w:right w:val="none" w:sz="0" w:space="0" w:color="auto"/>
      </w:divBdr>
    </w:div>
    <w:div w:id="1552691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ugqztkltqmfyc4njzgq3dsmjugy"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mnbugqztkltqmfyc4njzgq3dsmjt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21</Pages>
  <Words>7664</Words>
  <Characters>45986</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Żaneta Płotka</dc:creator>
  <cp:lastModifiedBy>Szymichowski_02</cp:lastModifiedBy>
  <cp:revision>21</cp:revision>
  <cp:lastPrinted>2025-09-04T12:59:00Z</cp:lastPrinted>
  <dcterms:created xsi:type="dcterms:W3CDTF">2024-06-26T09:39:00Z</dcterms:created>
  <dcterms:modified xsi:type="dcterms:W3CDTF">2026-07-01T11:19:00Z</dcterms:modified>
</cp:coreProperties>
</file>