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48CF" w14:textId="77777777" w:rsidR="004151A2" w:rsidRPr="0018326A" w:rsidRDefault="00000000">
      <w:pPr>
        <w:spacing w:after="0"/>
        <w:jc w:val="center"/>
        <w:rPr>
          <w:sz w:val="18"/>
          <w:szCs w:val="18"/>
        </w:rPr>
      </w:pPr>
      <w:r w:rsidRPr="0018326A">
        <w:rPr>
          <w:b/>
          <w:color w:val="000000"/>
          <w:sz w:val="18"/>
          <w:szCs w:val="18"/>
        </w:rPr>
        <w:t>Stan na dzień sporządzenia prospektu informacyjnego</w:t>
      </w:r>
    </w:p>
    <w:tbl>
      <w:tblPr>
        <w:tblW w:w="0" w:type="auto"/>
        <w:tblCellSpacing w:w="0" w:type="auto"/>
        <w:tblLook w:val="04A0" w:firstRow="1" w:lastRow="0" w:firstColumn="1" w:lastColumn="0" w:noHBand="0" w:noVBand="1"/>
      </w:tblPr>
      <w:tblGrid>
        <w:gridCol w:w="6937"/>
        <w:gridCol w:w="2090"/>
      </w:tblGrid>
      <w:tr w:rsidR="004151A2" w:rsidRPr="0018326A" w14:paraId="364A67C9" w14:textId="77777777">
        <w:trPr>
          <w:trHeight w:val="30"/>
          <w:tblCellSpacing w:w="0" w:type="auto"/>
        </w:trPr>
        <w:tc>
          <w:tcPr>
            <w:tcW w:w="11912" w:type="dxa"/>
            <w:tcMar>
              <w:top w:w="15" w:type="dxa"/>
              <w:left w:w="15" w:type="dxa"/>
              <w:bottom w:w="15" w:type="dxa"/>
              <w:right w:w="15" w:type="dxa"/>
            </w:tcMar>
            <w:vAlign w:val="center"/>
          </w:tcPr>
          <w:p w14:paraId="0C660026" w14:textId="77777777" w:rsidR="004151A2" w:rsidRPr="0018326A" w:rsidRDefault="004151A2">
            <w:pPr>
              <w:rPr>
                <w:sz w:val="18"/>
                <w:szCs w:val="18"/>
              </w:rPr>
            </w:pPr>
          </w:p>
        </w:tc>
        <w:tc>
          <w:tcPr>
            <w:tcW w:w="2829" w:type="dxa"/>
            <w:tcMar>
              <w:top w:w="15" w:type="dxa"/>
              <w:left w:w="15" w:type="dxa"/>
              <w:bottom w:w="15" w:type="dxa"/>
              <w:right w:w="15" w:type="dxa"/>
            </w:tcMar>
            <w:vAlign w:val="center"/>
          </w:tcPr>
          <w:tbl>
            <w:tblPr>
              <w:tblStyle w:val="Tabela-Siatka"/>
              <w:tblW w:w="0" w:type="auto"/>
              <w:tblLook w:val="04A0" w:firstRow="1" w:lastRow="0" w:firstColumn="1" w:lastColumn="0" w:noHBand="0" w:noVBand="1"/>
            </w:tblPr>
            <w:tblGrid>
              <w:gridCol w:w="1702"/>
            </w:tblGrid>
            <w:tr w:rsidR="00CB65D7" w:rsidRPr="0018326A" w14:paraId="174F5539" w14:textId="77777777" w:rsidTr="00CB65D7">
              <w:tc>
                <w:tcPr>
                  <w:tcW w:w="1702" w:type="dxa"/>
                </w:tcPr>
                <w:p w14:paraId="4AE39170" w14:textId="3D64183F" w:rsidR="00CB65D7" w:rsidRPr="0018326A" w:rsidRDefault="00CE41A8">
                  <w:pPr>
                    <w:rPr>
                      <w:sz w:val="18"/>
                      <w:szCs w:val="18"/>
                    </w:rPr>
                  </w:pPr>
                  <w:r>
                    <w:rPr>
                      <w:sz w:val="18"/>
                      <w:szCs w:val="18"/>
                    </w:rPr>
                    <w:t>20.05.2026</w:t>
                  </w:r>
                  <w:r w:rsidR="00766EF3">
                    <w:rPr>
                      <w:sz w:val="18"/>
                      <w:szCs w:val="18"/>
                    </w:rPr>
                    <w:t xml:space="preserve"> r.</w:t>
                  </w:r>
                </w:p>
              </w:tc>
            </w:tr>
          </w:tbl>
          <w:p w14:paraId="40206834" w14:textId="504D7FBC" w:rsidR="004151A2" w:rsidRPr="0018326A" w:rsidRDefault="004151A2">
            <w:pPr>
              <w:spacing w:after="0"/>
              <w:rPr>
                <w:sz w:val="18"/>
                <w:szCs w:val="18"/>
              </w:rPr>
            </w:pPr>
          </w:p>
        </w:tc>
      </w:tr>
    </w:tbl>
    <w:p w14:paraId="5F7C5C24" w14:textId="77777777" w:rsidR="004151A2" w:rsidRPr="0018326A" w:rsidRDefault="00000000">
      <w:pPr>
        <w:spacing w:before="25" w:after="0"/>
        <w:jc w:val="center"/>
        <w:rPr>
          <w:sz w:val="18"/>
          <w:szCs w:val="18"/>
        </w:rPr>
      </w:pPr>
      <w:r w:rsidRPr="0018326A">
        <w:rPr>
          <w:b/>
          <w:color w:val="000000"/>
          <w:sz w:val="18"/>
          <w:szCs w:val="18"/>
        </w:rPr>
        <w:t>PROSPEKT INFORMACYJNY</w:t>
      </w:r>
    </w:p>
    <w:p w14:paraId="65337CF4" w14:textId="77777777" w:rsidR="00CB65D7" w:rsidRPr="0018326A" w:rsidRDefault="00CB65D7">
      <w:pPr>
        <w:spacing w:before="25" w:after="0"/>
        <w:jc w:val="both"/>
        <w:rPr>
          <w:b/>
          <w:color w:val="000000"/>
          <w:sz w:val="18"/>
          <w:szCs w:val="18"/>
        </w:rPr>
      </w:pPr>
    </w:p>
    <w:p w14:paraId="40E7ADEA" w14:textId="1BC810A6" w:rsidR="004151A2" w:rsidRPr="0018326A" w:rsidRDefault="00000000">
      <w:pPr>
        <w:spacing w:before="25" w:after="0"/>
        <w:jc w:val="both"/>
        <w:rPr>
          <w:sz w:val="18"/>
          <w:szCs w:val="18"/>
        </w:rPr>
      </w:pPr>
      <w:r w:rsidRPr="0018326A">
        <w:rPr>
          <w:b/>
          <w:color w:val="000000"/>
          <w:sz w:val="18"/>
          <w:szCs w:val="18"/>
        </w:rPr>
        <w:t>CZĘŚĆ OGÓLNA</w:t>
      </w:r>
    </w:p>
    <w:p w14:paraId="527B882B" w14:textId="77777777" w:rsidR="00CB65D7" w:rsidRPr="0018326A" w:rsidRDefault="00CB65D7">
      <w:pPr>
        <w:spacing w:before="25" w:after="0"/>
        <w:jc w:val="both"/>
        <w:rPr>
          <w:b/>
          <w:color w:val="000000"/>
          <w:sz w:val="18"/>
          <w:szCs w:val="18"/>
        </w:rPr>
      </w:pPr>
    </w:p>
    <w:p w14:paraId="1307C5DF" w14:textId="034D95E1" w:rsidR="004151A2" w:rsidRPr="0018326A" w:rsidRDefault="00000000">
      <w:pPr>
        <w:spacing w:before="25" w:after="0"/>
        <w:jc w:val="both"/>
        <w:rPr>
          <w:sz w:val="18"/>
          <w:szCs w:val="18"/>
        </w:rPr>
      </w:pPr>
      <w:r w:rsidRPr="0018326A">
        <w:rPr>
          <w:b/>
          <w:color w:val="000000"/>
          <w:sz w:val="18"/>
          <w:szCs w:val="18"/>
        </w:rPr>
        <w:t>I. DANE IDENTYFIKACYJNE I KONTAKTOWE DOTYCZĄCE DEWELOPERA</w:t>
      </w:r>
    </w:p>
    <w:p w14:paraId="2C3ECA03" w14:textId="18272CE0" w:rsidR="004151A2" w:rsidRPr="0018326A" w:rsidRDefault="004151A2">
      <w:pPr>
        <w:spacing w:before="25" w:after="0"/>
        <w:jc w:val="both"/>
        <w:rPr>
          <w:sz w:val="18"/>
          <w:szCs w:val="18"/>
        </w:rPr>
      </w:pPr>
    </w:p>
    <w:tbl>
      <w:tblPr>
        <w:tblW w:w="10065" w:type="dxa"/>
        <w:tblCellSpacing w:w="0" w:type="auto"/>
        <w:tblInd w:w="-29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388"/>
        <w:gridCol w:w="2683"/>
        <w:gridCol w:w="3994"/>
      </w:tblGrid>
      <w:tr w:rsidR="004151A2" w:rsidRPr="0018326A" w14:paraId="373D0C50" w14:textId="77777777" w:rsidTr="0018326A">
        <w:trPr>
          <w:trHeight w:val="45"/>
          <w:tblCellSpacing w:w="0" w:type="auto"/>
        </w:trPr>
        <w:tc>
          <w:tcPr>
            <w:tcW w:w="10065" w:type="dxa"/>
            <w:gridSpan w:val="3"/>
            <w:tcBorders>
              <w:bottom w:val="single" w:sz="8" w:space="0" w:color="000000"/>
              <w:right w:val="single" w:sz="8" w:space="0" w:color="000000"/>
            </w:tcBorders>
            <w:tcMar>
              <w:top w:w="15" w:type="dxa"/>
              <w:left w:w="15" w:type="dxa"/>
              <w:bottom w:w="15" w:type="dxa"/>
              <w:right w:w="15" w:type="dxa"/>
            </w:tcMar>
            <w:vAlign w:val="center"/>
          </w:tcPr>
          <w:p w14:paraId="7FD8B24C" w14:textId="77777777" w:rsidR="004151A2" w:rsidRPr="0018326A" w:rsidRDefault="00000000">
            <w:pPr>
              <w:spacing w:after="0"/>
              <w:rPr>
                <w:sz w:val="18"/>
                <w:szCs w:val="18"/>
              </w:rPr>
            </w:pPr>
            <w:r w:rsidRPr="0018326A">
              <w:rPr>
                <w:b/>
                <w:color w:val="000000"/>
                <w:sz w:val="18"/>
                <w:szCs w:val="18"/>
              </w:rPr>
              <w:t>DANE DEWELOPERA</w:t>
            </w:r>
          </w:p>
        </w:tc>
      </w:tr>
      <w:tr w:rsidR="004151A2" w:rsidRPr="0018326A" w14:paraId="6BE9267F"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3C0E38E5" w14:textId="77777777" w:rsidR="004151A2" w:rsidRPr="0018326A" w:rsidRDefault="00000000">
            <w:pPr>
              <w:spacing w:after="0"/>
              <w:rPr>
                <w:sz w:val="18"/>
                <w:szCs w:val="18"/>
              </w:rPr>
            </w:pPr>
            <w:r w:rsidRPr="0018326A">
              <w:rPr>
                <w:color w:val="000000"/>
                <w:sz w:val="18"/>
                <w:szCs w:val="18"/>
              </w:rPr>
              <w:t>Deweloper</w:t>
            </w:r>
          </w:p>
        </w:tc>
        <w:tc>
          <w:tcPr>
            <w:tcW w:w="6677" w:type="dxa"/>
            <w:gridSpan w:val="2"/>
            <w:tcBorders>
              <w:bottom w:val="single" w:sz="8" w:space="0" w:color="000000"/>
              <w:right w:val="single" w:sz="8" w:space="0" w:color="000000"/>
            </w:tcBorders>
            <w:tcMar>
              <w:top w:w="15" w:type="dxa"/>
              <w:left w:w="15" w:type="dxa"/>
              <w:bottom w:w="15" w:type="dxa"/>
              <w:right w:w="15" w:type="dxa"/>
            </w:tcMar>
            <w:vAlign w:val="center"/>
          </w:tcPr>
          <w:p w14:paraId="08A98F3F" w14:textId="48D8A3E0" w:rsidR="004151A2" w:rsidRPr="0018326A" w:rsidRDefault="00E4262B">
            <w:pPr>
              <w:spacing w:after="0"/>
              <w:rPr>
                <w:sz w:val="18"/>
                <w:szCs w:val="18"/>
              </w:rPr>
            </w:pPr>
            <w:r w:rsidRPr="0018326A">
              <w:rPr>
                <w:rFonts w:cs="Calibri"/>
                <w:iCs/>
                <w:sz w:val="18"/>
                <w:szCs w:val="18"/>
              </w:rPr>
              <w:t>Przedsiębiorstwo Budowlane SZYMICHOWSKI Sp. z o.o.</w:t>
            </w:r>
          </w:p>
        </w:tc>
      </w:tr>
      <w:tr w:rsidR="004151A2" w:rsidRPr="0018326A" w14:paraId="43D9A160"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6A76C255" w14:textId="77777777" w:rsidR="004151A2" w:rsidRPr="0018326A" w:rsidRDefault="00000000">
            <w:pPr>
              <w:spacing w:after="0"/>
              <w:rPr>
                <w:sz w:val="18"/>
                <w:szCs w:val="18"/>
              </w:rPr>
            </w:pPr>
            <w:r w:rsidRPr="0018326A">
              <w:rPr>
                <w:color w:val="000000"/>
                <w:sz w:val="18"/>
                <w:szCs w:val="18"/>
              </w:rPr>
              <w:t>Adres</w:t>
            </w:r>
          </w:p>
        </w:tc>
        <w:tc>
          <w:tcPr>
            <w:tcW w:w="6677" w:type="dxa"/>
            <w:gridSpan w:val="2"/>
            <w:tcBorders>
              <w:bottom w:val="single" w:sz="8" w:space="0" w:color="000000"/>
              <w:right w:val="single" w:sz="8" w:space="0" w:color="000000"/>
            </w:tcBorders>
            <w:tcMar>
              <w:top w:w="15" w:type="dxa"/>
              <w:left w:w="15" w:type="dxa"/>
              <w:bottom w:w="15" w:type="dxa"/>
              <w:right w:w="15" w:type="dxa"/>
            </w:tcMar>
            <w:vAlign w:val="center"/>
          </w:tcPr>
          <w:p w14:paraId="690A1BCE" w14:textId="263F5BC7" w:rsidR="004151A2" w:rsidRPr="0018326A" w:rsidRDefault="00E4262B">
            <w:pPr>
              <w:spacing w:after="0"/>
              <w:rPr>
                <w:sz w:val="18"/>
                <w:szCs w:val="18"/>
              </w:rPr>
            </w:pPr>
            <w:r w:rsidRPr="0018326A">
              <w:rPr>
                <w:rFonts w:cs="Calibri"/>
                <w:sz w:val="18"/>
                <w:szCs w:val="18"/>
              </w:rPr>
              <w:t>ul. Świerkowa 26, 83-307 Kiełpino</w:t>
            </w:r>
          </w:p>
        </w:tc>
      </w:tr>
      <w:tr w:rsidR="00E4262B" w:rsidRPr="0018326A" w14:paraId="70233D80"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0F10BD2A" w14:textId="77777777" w:rsidR="00E4262B" w:rsidRPr="0018326A" w:rsidRDefault="00E4262B" w:rsidP="00E4262B">
            <w:pPr>
              <w:spacing w:after="0"/>
              <w:rPr>
                <w:sz w:val="18"/>
                <w:szCs w:val="18"/>
              </w:rPr>
            </w:pPr>
            <w:r w:rsidRPr="0018326A">
              <w:rPr>
                <w:color w:val="000000"/>
                <w:sz w:val="18"/>
                <w:szCs w:val="18"/>
              </w:rPr>
              <w:t>Numer NIP i REGON</w:t>
            </w:r>
          </w:p>
        </w:tc>
        <w:tc>
          <w:tcPr>
            <w:tcW w:w="2683" w:type="dxa"/>
            <w:tcBorders>
              <w:bottom w:val="single" w:sz="8" w:space="0" w:color="000000"/>
              <w:right w:val="single" w:sz="8" w:space="0" w:color="000000"/>
            </w:tcBorders>
            <w:tcMar>
              <w:top w:w="15" w:type="dxa"/>
              <w:left w:w="15" w:type="dxa"/>
              <w:bottom w:w="15" w:type="dxa"/>
              <w:right w:w="15" w:type="dxa"/>
            </w:tcMar>
          </w:tcPr>
          <w:p w14:paraId="25282227" w14:textId="77777777" w:rsidR="00E4262B" w:rsidRPr="0018326A" w:rsidRDefault="00E4262B" w:rsidP="00E4262B">
            <w:pPr>
              <w:spacing w:beforeLines="60" w:before="144" w:afterLines="60" w:after="144" w:line="240" w:lineRule="auto"/>
              <w:jc w:val="both"/>
              <w:rPr>
                <w:rFonts w:cs="Calibri"/>
                <w:sz w:val="18"/>
                <w:szCs w:val="18"/>
              </w:rPr>
            </w:pPr>
            <w:r w:rsidRPr="0018326A">
              <w:rPr>
                <w:rFonts w:cs="Calibri"/>
                <w:sz w:val="18"/>
                <w:szCs w:val="18"/>
              </w:rPr>
              <w:t>(NIP)</w:t>
            </w:r>
          </w:p>
          <w:p w14:paraId="1035AD35" w14:textId="0FB2F47C" w:rsidR="00E4262B" w:rsidRPr="0018326A" w:rsidRDefault="00E4262B" w:rsidP="00E4262B">
            <w:pPr>
              <w:spacing w:after="0"/>
              <w:rPr>
                <w:sz w:val="18"/>
                <w:szCs w:val="18"/>
              </w:rPr>
            </w:pPr>
            <w:r w:rsidRPr="0018326A">
              <w:rPr>
                <w:rFonts w:cs="Calibri"/>
                <w:sz w:val="18"/>
                <w:szCs w:val="18"/>
              </w:rPr>
              <w:t>589-207-22-69</w:t>
            </w:r>
          </w:p>
        </w:tc>
        <w:tc>
          <w:tcPr>
            <w:tcW w:w="3994" w:type="dxa"/>
            <w:tcBorders>
              <w:bottom w:val="single" w:sz="8" w:space="0" w:color="000000"/>
              <w:right w:val="single" w:sz="8" w:space="0" w:color="000000"/>
            </w:tcBorders>
            <w:tcMar>
              <w:top w:w="15" w:type="dxa"/>
              <w:left w:w="15" w:type="dxa"/>
              <w:bottom w:w="15" w:type="dxa"/>
              <w:right w:w="15" w:type="dxa"/>
            </w:tcMar>
            <w:vAlign w:val="center"/>
          </w:tcPr>
          <w:p w14:paraId="0B4DC078" w14:textId="77777777" w:rsidR="00E4262B" w:rsidRPr="0018326A" w:rsidRDefault="00E4262B" w:rsidP="00E4262B">
            <w:pPr>
              <w:spacing w:beforeLines="60" w:before="144" w:afterLines="60" w:after="144" w:line="240" w:lineRule="auto"/>
              <w:jc w:val="both"/>
              <w:rPr>
                <w:rFonts w:cs="Calibri"/>
                <w:sz w:val="18"/>
                <w:szCs w:val="18"/>
              </w:rPr>
            </w:pPr>
            <w:r w:rsidRPr="0018326A">
              <w:rPr>
                <w:rFonts w:cs="Calibri"/>
                <w:sz w:val="18"/>
                <w:szCs w:val="18"/>
              </w:rPr>
              <w:t>(REGON)</w:t>
            </w:r>
          </w:p>
          <w:p w14:paraId="76427F86" w14:textId="40DD7A4F" w:rsidR="00E4262B" w:rsidRPr="0018326A" w:rsidRDefault="00E4262B" w:rsidP="00E4262B">
            <w:pPr>
              <w:spacing w:after="0"/>
              <w:rPr>
                <w:sz w:val="18"/>
                <w:szCs w:val="18"/>
              </w:rPr>
            </w:pPr>
            <w:r w:rsidRPr="0018326A">
              <w:rPr>
                <w:rFonts w:cs="Calibri"/>
                <w:sz w:val="18"/>
                <w:szCs w:val="18"/>
              </w:rPr>
              <w:t>521649467</w:t>
            </w:r>
          </w:p>
        </w:tc>
      </w:tr>
      <w:tr w:rsidR="00E4262B" w:rsidRPr="0018326A" w14:paraId="05B715E1"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12FB413A" w14:textId="77777777" w:rsidR="00E4262B" w:rsidRPr="0018326A" w:rsidRDefault="00E4262B" w:rsidP="00E4262B">
            <w:pPr>
              <w:spacing w:after="0"/>
              <w:rPr>
                <w:sz w:val="18"/>
                <w:szCs w:val="18"/>
              </w:rPr>
            </w:pPr>
            <w:r w:rsidRPr="0018326A">
              <w:rPr>
                <w:color w:val="000000"/>
                <w:sz w:val="18"/>
                <w:szCs w:val="18"/>
              </w:rPr>
              <w:t>Numer telefonu</w:t>
            </w:r>
          </w:p>
        </w:tc>
        <w:tc>
          <w:tcPr>
            <w:tcW w:w="6677" w:type="dxa"/>
            <w:gridSpan w:val="2"/>
            <w:tcBorders>
              <w:bottom w:val="single" w:sz="8" w:space="0" w:color="000000"/>
              <w:right w:val="single" w:sz="8" w:space="0" w:color="000000"/>
            </w:tcBorders>
            <w:tcMar>
              <w:top w:w="15" w:type="dxa"/>
              <w:left w:w="15" w:type="dxa"/>
              <w:bottom w:w="15" w:type="dxa"/>
              <w:right w:w="15" w:type="dxa"/>
            </w:tcMar>
          </w:tcPr>
          <w:p w14:paraId="4C020CEF" w14:textId="7226685B" w:rsidR="00E4262B" w:rsidRPr="0018326A" w:rsidRDefault="00E4262B" w:rsidP="00E4262B">
            <w:pPr>
              <w:rPr>
                <w:sz w:val="18"/>
                <w:szCs w:val="18"/>
              </w:rPr>
            </w:pPr>
            <w:r w:rsidRPr="0018326A">
              <w:rPr>
                <w:rFonts w:cs="Calibri"/>
                <w:sz w:val="18"/>
                <w:szCs w:val="18"/>
              </w:rPr>
              <w:t>509-127-664, 509-127-75</w:t>
            </w:r>
            <w:r w:rsidR="00BF7093">
              <w:rPr>
                <w:rFonts w:cs="Calibri"/>
                <w:sz w:val="18"/>
                <w:szCs w:val="18"/>
              </w:rPr>
              <w:t>1</w:t>
            </w:r>
            <w:r w:rsidR="007574FB">
              <w:rPr>
                <w:rFonts w:cs="Calibri"/>
                <w:sz w:val="18"/>
                <w:szCs w:val="18"/>
              </w:rPr>
              <w:t>, 509-127-75</w:t>
            </w:r>
            <w:r w:rsidR="00BF7093">
              <w:rPr>
                <w:rFonts w:cs="Calibri"/>
                <w:sz w:val="18"/>
                <w:szCs w:val="18"/>
              </w:rPr>
              <w:t>4</w:t>
            </w:r>
          </w:p>
        </w:tc>
      </w:tr>
      <w:tr w:rsidR="00E4262B" w:rsidRPr="0018326A" w14:paraId="0396C616"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5BCEFF2D" w14:textId="77777777" w:rsidR="00E4262B" w:rsidRPr="0018326A" w:rsidRDefault="00E4262B" w:rsidP="00E4262B">
            <w:pPr>
              <w:spacing w:after="0"/>
              <w:rPr>
                <w:sz w:val="18"/>
                <w:szCs w:val="18"/>
              </w:rPr>
            </w:pPr>
            <w:r w:rsidRPr="0018326A">
              <w:rPr>
                <w:color w:val="000000"/>
                <w:sz w:val="18"/>
                <w:szCs w:val="18"/>
              </w:rPr>
              <w:t>Adres poczty elektronicznej</w:t>
            </w:r>
          </w:p>
        </w:tc>
        <w:tc>
          <w:tcPr>
            <w:tcW w:w="6677" w:type="dxa"/>
            <w:gridSpan w:val="2"/>
            <w:tcBorders>
              <w:bottom w:val="single" w:sz="8" w:space="0" w:color="000000"/>
              <w:right w:val="single" w:sz="8" w:space="0" w:color="000000"/>
            </w:tcBorders>
            <w:tcMar>
              <w:top w:w="15" w:type="dxa"/>
              <w:left w:w="15" w:type="dxa"/>
              <w:bottom w:w="15" w:type="dxa"/>
              <w:right w:w="15" w:type="dxa"/>
            </w:tcMar>
            <w:vAlign w:val="center"/>
          </w:tcPr>
          <w:p w14:paraId="2F204228" w14:textId="0B370352" w:rsidR="00E4262B" w:rsidRPr="0018326A" w:rsidRDefault="00E4262B" w:rsidP="00E4262B">
            <w:pPr>
              <w:rPr>
                <w:sz w:val="18"/>
                <w:szCs w:val="18"/>
              </w:rPr>
            </w:pPr>
            <w:r w:rsidRPr="0018326A">
              <w:rPr>
                <w:rFonts w:cs="Calibri"/>
                <w:sz w:val="18"/>
                <w:szCs w:val="18"/>
              </w:rPr>
              <w:t>sprzedaz.mieszkan@szymichowski.pl</w:t>
            </w:r>
            <w:r w:rsidRPr="0018326A">
              <w:rPr>
                <w:rFonts w:cs="Calibri"/>
                <w:sz w:val="18"/>
                <w:szCs w:val="18"/>
              </w:rPr>
              <w:br/>
              <w:t>biuro@szymichowski.pl</w:t>
            </w:r>
          </w:p>
        </w:tc>
      </w:tr>
      <w:tr w:rsidR="00E4262B" w:rsidRPr="0018326A" w14:paraId="77E32E33"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4A39ED65" w14:textId="77777777" w:rsidR="00E4262B" w:rsidRPr="0018326A" w:rsidRDefault="00E4262B" w:rsidP="00E4262B">
            <w:pPr>
              <w:spacing w:after="0"/>
              <w:rPr>
                <w:sz w:val="18"/>
                <w:szCs w:val="18"/>
              </w:rPr>
            </w:pPr>
            <w:r w:rsidRPr="0018326A">
              <w:rPr>
                <w:color w:val="000000"/>
                <w:sz w:val="18"/>
                <w:szCs w:val="18"/>
              </w:rPr>
              <w:t>Numer faksu</w:t>
            </w:r>
          </w:p>
        </w:tc>
        <w:tc>
          <w:tcPr>
            <w:tcW w:w="6677" w:type="dxa"/>
            <w:gridSpan w:val="2"/>
            <w:tcBorders>
              <w:bottom w:val="single" w:sz="8" w:space="0" w:color="000000"/>
              <w:right w:val="single" w:sz="8" w:space="0" w:color="000000"/>
            </w:tcBorders>
            <w:tcMar>
              <w:top w:w="15" w:type="dxa"/>
              <w:left w:w="15" w:type="dxa"/>
              <w:bottom w:w="15" w:type="dxa"/>
              <w:right w:w="15" w:type="dxa"/>
            </w:tcMar>
          </w:tcPr>
          <w:p w14:paraId="2B550666" w14:textId="2754E8DC" w:rsidR="00E4262B" w:rsidRPr="0018326A" w:rsidRDefault="00E4262B" w:rsidP="00E4262B">
            <w:pPr>
              <w:rPr>
                <w:sz w:val="18"/>
                <w:szCs w:val="18"/>
              </w:rPr>
            </w:pPr>
            <w:r w:rsidRPr="0018326A">
              <w:rPr>
                <w:rFonts w:cs="Calibri"/>
                <w:sz w:val="18"/>
                <w:szCs w:val="18"/>
              </w:rPr>
              <w:t>Nie dotyczy</w:t>
            </w:r>
          </w:p>
        </w:tc>
      </w:tr>
      <w:tr w:rsidR="00E4262B" w:rsidRPr="0018326A" w14:paraId="368D8A10" w14:textId="77777777" w:rsidTr="0018326A">
        <w:trPr>
          <w:trHeight w:val="45"/>
          <w:tblCellSpacing w:w="0" w:type="auto"/>
        </w:trPr>
        <w:tc>
          <w:tcPr>
            <w:tcW w:w="3388" w:type="dxa"/>
            <w:tcBorders>
              <w:bottom w:val="single" w:sz="8" w:space="0" w:color="000000"/>
              <w:right w:val="single" w:sz="8" w:space="0" w:color="000000"/>
            </w:tcBorders>
            <w:tcMar>
              <w:top w:w="15" w:type="dxa"/>
              <w:left w:w="15" w:type="dxa"/>
              <w:bottom w:w="15" w:type="dxa"/>
              <w:right w:w="15" w:type="dxa"/>
            </w:tcMar>
            <w:vAlign w:val="center"/>
          </w:tcPr>
          <w:p w14:paraId="61704EBD" w14:textId="77777777" w:rsidR="00E4262B" w:rsidRPr="0018326A" w:rsidRDefault="00E4262B" w:rsidP="00E4262B">
            <w:pPr>
              <w:spacing w:after="0"/>
              <w:rPr>
                <w:sz w:val="18"/>
                <w:szCs w:val="18"/>
              </w:rPr>
            </w:pPr>
            <w:r w:rsidRPr="0018326A">
              <w:rPr>
                <w:color w:val="000000"/>
                <w:sz w:val="18"/>
                <w:szCs w:val="18"/>
              </w:rPr>
              <w:t>Adres strony internetowej dewelopera</w:t>
            </w:r>
          </w:p>
        </w:tc>
        <w:tc>
          <w:tcPr>
            <w:tcW w:w="6677" w:type="dxa"/>
            <w:gridSpan w:val="2"/>
            <w:tcBorders>
              <w:bottom w:val="single" w:sz="8" w:space="0" w:color="000000"/>
              <w:right w:val="single" w:sz="8" w:space="0" w:color="000000"/>
            </w:tcBorders>
            <w:tcMar>
              <w:top w:w="15" w:type="dxa"/>
              <w:left w:w="15" w:type="dxa"/>
              <w:bottom w:w="15" w:type="dxa"/>
              <w:right w:w="15" w:type="dxa"/>
            </w:tcMar>
            <w:vAlign w:val="center"/>
          </w:tcPr>
          <w:p w14:paraId="2C899E60" w14:textId="6BA29ABE" w:rsidR="00E4262B" w:rsidRPr="0018326A" w:rsidRDefault="00E4262B" w:rsidP="00E4262B">
            <w:pPr>
              <w:rPr>
                <w:sz w:val="18"/>
                <w:szCs w:val="18"/>
              </w:rPr>
            </w:pPr>
            <w:r w:rsidRPr="0018326A">
              <w:rPr>
                <w:rFonts w:cs="Calibri"/>
                <w:sz w:val="18"/>
                <w:szCs w:val="18"/>
              </w:rPr>
              <w:t>www.szymichowski.pl</w:t>
            </w:r>
          </w:p>
        </w:tc>
      </w:tr>
    </w:tbl>
    <w:p w14:paraId="368E9F4F" w14:textId="77777777" w:rsidR="00E4262B" w:rsidRPr="0018326A" w:rsidRDefault="00E4262B">
      <w:pPr>
        <w:spacing w:before="25" w:after="0"/>
        <w:jc w:val="both"/>
        <w:rPr>
          <w:b/>
          <w:color w:val="000000"/>
          <w:sz w:val="18"/>
          <w:szCs w:val="18"/>
        </w:rPr>
      </w:pPr>
    </w:p>
    <w:p w14:paraId="6EF662B3" w14:textId="100114FB" w:rsidR="004151A2" w:rsidRPr="0018326A" w:rsidRDefault="00E4262B">
      <w:pPr>
        <w:spacing w:before="25" w:after="0"/>
        <w:jc w:val="both"/>
        <w:rPr>
          <w:b/>
          <w:color w:val="000000"/>
          <w:sz w:val="18"/>
          <w:szCs w:val="18"/>
        </w:rPr>
      </w:pPr>
      <w:r w:rsidRPr="0018326A">
        <w:rPr>
          <w:b/>
          <w:color w:val="000000"/>
          <w:sz w:val="18"/>
          <w:szCs w:val="18"/>
        </w:rPr>
        <w:t>II. DOŚWIADCZENIE DEWELOPERA</w:t>
      </w:r>
    </w:p>
    <w:p w14:paraId="673E3EC2" w14:textId="77777777" w:rsidR="00E4262B" w:rsidRPr="0018326A" w:rsidRDefault="00E4262B">
      <w:pPr>
        <w:spacing w:before="25" w:after="0"/>
        <w:jc w:val="both"/>
        <w:rPr>
          <w:sz w:val="18"/>
          <w:szCs w:val="18"/>
        </w:rPr>
      </w:pPr>
    </w:p>
    <w:tbl>
      <w:tblPr>
        <w:tblW w:w="10065" w:type="dxa"/>
        <w:tblCellSpacing w:w="0" w:type="auto"/>
        <w:tblInd w:w="-294"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71"/>
        <w:gridCol w:w="6094"/>
      </w:tblGrid>
      <w:tr w:rsidR="004151A2" w:rsidRPr="0018326A" w14:paraId="01D24E78" w14:textId="77777777" w:rsidTr="0018326A">
        <w:trPr>
          <w:trHeight w:val="45"/>
          <w:tblCellSpacing w:w="0" w:type="auto"/>
        </w:trPr>
        <w:tc>
          <w:tcPr>
            <w:tcW w:w="10065" w:type="dxa"/>
            <w:gridSpan w:val="2"/>
            <w:tcBorders>
              <w:bottom w:val="single" w:sz="8" w:space="0" w:color="000000"/>
              <w:right w:val="single" w:sz="8" w:space="0" w:color="000000"/>
            </w:tcBorders>
            <w:tcMar>
              <w:top w:w="15" w:type="dxa"/>
              <w:left w:w="15" w:type="dxa"/>
              <w:bottom w:w="15" w:type="dxa"/>
              <w:right w:w="15" w:type="dxa"/>
            </w:tcMar>
            <w:vAlign w:val="center"/>
          </w:tcPr>
          <w:p w14:paraId="7D355387" w14:textId="77777777" w:rsidR="004151A2" w:rsidRPr="0018326A" w:rsidRDefault="00000000">
            <w:pPr>
              <w:spacing w:after="0"/>
              <w:rPr>
                <w:sz w:val="18"/>
                <w:szCs w:val="18"/>
              </w:rPr>
            </w:pPr>
            <w:r w:rsidRPr="0018326A">
              <w:rPr>
                <w:b/>
                <w:color w:val="000000"/>
                <w:sz w:val="18"/>
                <w:szCs w:val="18"/>
              </w:rPr>
              <w:t>HISTORIA I UDOKUMENTOWANE</w:t>
            </w:r>
          </w:p>
        </w:tc>
      </w:tr>
      <w:tr w:rsidR="004151A2" w:rsidRPr="0018326A" w14:paraId="65F2E013" w14:textId="77777777" w:rsidTr="0018326A">
        <w:trPr>
          <w:trHeight w:val="45"/>
          <w:tblCellSpacing w:w="0" w:type="auto"/>
        </w:trPr>
        <w:tc>
          <w:tcPr>
            <w:tcW w:w="10065" w:type="dxa"/>
            <w:gridSpan w:val="2"/>
            <w:tcBorders>
              <w:bottom w:val="single" w:sz="8" w:space="0" w:color="000000"/>
              <w:right w:val="single" w:sz="8" w:space="0" w:color="000000"/>
            </w:tcBorders>
            <w:tcMar>
              <w:top w:w="15" w:type="dxa"/>
              <w:left w:w="15" w:type="dxa"/>
              <w:bottom w:w="15" w:type="dxa"/>
              <w:right w:w="15" w:type="dxa"/>
            </w:tcMar>
            <w:vAlign w:val="center"/>
          </w:tcPr>
          <w:p w14:paraId="7C18FEC6" w14:textId="77777777" w:rsidR="004151A2" w:rsidRPr="0018326A" w:rsidRDefault="00000000">
            <w:pPr>
              <w:spacing w:after="0"/>
              <w:rPr>
                <w:sz w:val="18"/>
                <w:szCs w:val="18"/>
              </w:rPr>
            </w:pPr>
            <w:r w:rsidRPr="0018326A">
              <w:rPr>
                <w:b/>
                <w:color w:val="000000"/>
                <w:sz w:val="18"/>
                <w:szCs w:val="18"/>
              </w:rPr>
              <w:t>PRZYKŁAD UKOŃCZONEGO PRZEDSIĘWZIĘCIA DEWELOPERSKIEGO (należy wskazać, o ile istnieją, trzy ukończone przedsięwzięcia deweloperskie, w tym ostatnie)</w:t>
            </w:r>
          </w:p>
        </w:tc>
      </w:tr>
      <w:tr w:rsidR="004151A2" w:rsidRPr="0018326A" w14:paraId="5CFC6BB8"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318B2A45" w14:textId="77777777" w:rsidR="004151A2" w:rsidRPr="0018326A" w:rsidRDefault="00000000">
            <w:pPr>
              <w:spacing w:after="0"/>
              <w:rPr>
                <w:sz w:val="18"/>
                <w:szCs w:val="18"/>
              </w:rPr>
            </w:pPr>
            <w:r w:rsidRPr="0018326A">
              <w:rPr>
                <w:color w:val="000000"/>
                <w:sz w:val="18"/>
                <w:szCs w:val="18"/>
              </w:rPr>
              <w:t>Adres</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42E16C16" w14:textId="428F55CA" w:rsidR="004151A2" w:rsidRPr="0018326A" w:rsidRDefault="00E4262B">
            <w:pPr>
              <w:rPr>
                <w:sz w:val="18"/>
                <w:szCs w:val="18"/>
              </w:rPr>
            </w:pPr>
            <w:r w:rsidRPr="0018326A">
              <w:rPr>
                <w:rFonts w:cs="Calibri"/>
                <w:sz w:val="18"/>
                <w:szCs w:val="18"/>
              </w:rPr>
              <w:t>Wróblewskiego 9 i 11, 83-000 Pruszcz Gdański</w:t>
            </w:r>
          </w:p>
        </w:tc>
      </w:tr>
      <w:tr w:rsidR="00E4262B" w:rsidRPr="0018326A" w14:paraId="2571E787"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5ABD68FA" w14:textId="77777777" w:rsidR="00E4262B" w:rsidRPr="0018326A" w:rsidRDefault="00E4262B" w:rsidP="00E4262B">
            <w:pPr>
              <w:spacing w:after="0"/>
              <w:rPr>
                <w:sz w:val="18"/>
                <w:szCs w:val="18"/>
              </w:rPr>
            </w:pPr>
            <w:r w:rsidRPr="0018326A">
              <w:rPr>
                <w:color w:val="000000"/>
                <w:sz w:val="18"/>
                <w:szCs w:val="18"/>
              </w:rPr>
              <w:t>Data rozpoczęcia</w:t>
            </w:r>
          </w:p>
        </w:tc>
        <w:tc>
          <w:tcPr>
            <w:tcW w:w="6094" w:type="dxa"/>
            <w:tcBorders>
              <w:bottom w:val="single" w:sz="8" w:space="0" w:color="000000"/>
              <w:right w:val="single" w:sz="8" w:space="0" w:color="000000"/>
            </w:tcBorders>
            <w:tcMar>
              <w:top w:w="15" w:type="dxa"/>
              <w:left w:w="15" w:type="dxa"/>
              <w:bottom w:w="15" w:type="dxa"/>
              <w:right w:w="15" w:type="dxa"/>
            </w:tcMar>
          </w:tcPr>
          <w:p w14:paraId="2F7137AE" w14:textId="7363DD18" w:rsidR="00E4262B" w:rsidRPr="0018326A" w:rsidRDefault="00E4262B" w:rsidP="00E4262B">
            <w:pPr>
              <w:rPr>
                <w:sz w:val="18"/>
                <w:szCs w:val="18"/>
              </w:rPr>
            </w:pPr>
            <w:r w:rsidRPr="0018326A">
              <w:rPr>
                <w:rFonts w:cs="Calibri"/>
                <w:sz w:val="18"/>
                <w:szCs w:val="18"/>
              </w:rPr>
              <w:t>12.12.2017 r.</w:t>
            </w:r>
          </w:p>
        </w:tc>
      </w:tr>
      <w:tr w:rsidR="00E4262B" w:rsidRPr="0018326A" w14:paraId="5651BA6F"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1DCBED4D" w14:textId="77777777" w:rsidR="00E4262B" w:rsidRPr="0018326A" w:rsidRDefault="00E4262B" w:rsidP="00E4262B">
            <w:pPr>
              <w:spacing w:after="0"/>
              <w:rPr>
                <w:sz w:val="18"/>
                <w:szCs w:val="18"/>
              </w:rPr>
            </w:pPr>
            <w:r w:rsidRPr="0018326A">
              <w:rPr>
                <w:color w:val="000000"/>
                <w:sz w:val="18"/>
                <w:szCs w:val="18"/>
              </w:rPr>
              <w:t>Data wydania decyzji o pozwoleniu na użytkowanie</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335B72D9" w14:textId="19FD7314" w:rsidR="00E4262B" w:rsidRPr="0018326A" w:rsidRDefault="00E4262B" w:rsidP="00E4262B">
            <w:pPr>
              <w:rPr>
                <w:sz w:val="18"/>
                <w:szCs w:val="18"/>
              </w:rPr>
            </w:pPr>
            <w:r w:rsidRPr="0018326A">
              <w:rPr>
                <w:rFonts w:cs="Calibri"/>
                <w:sz w:val="18"/>
                <w:szCs w:val="18"/>
              </w:rPr>
              <w:t>17.07.2018 r.</w:t>
            </w:r>
          </w:p>
        </w:tc>
      </w:tr>
      <w:tr w:rsidR="00E4262B" w:rsidRPr="0018326A" w14:paraId="394380B2" w14:textId="77777777" w:rsidTr="0018326A">
        <w:trPr>
          <w:trHeight w:val="45"/>
          <w:tblCellSpacing w:w="0" w:type="auto"/>
        </w:trPr>
        <w:tc>
          <w:tcPr>
            <w:tcW w:w="10065" w:type="dxa"/>
            <w:gridSpan w:val="2"/>
            <w:tcBorders>
              <w:bottom w:val="single" w:sz="8" w:space="0" w:color="000000"/>
              <w:right w:val="single" w:sz="8" w:space="0" w:color="000000"/>
            </w:tcBorders>
            <w:tcMar>
              <w:top w:w="15" w:type="dxa"/>
              <w:left w:w="15" w:type="dxa"/>
              <w:bottom w:w="15" w:type="dxa"/>
              <w:right w:w="15" w:type="dxa"/>
            </w:tcMar>
            <w:vAlign w:val="center"/>
          </w:tcPr>
          <w:p w14:paraId="186A18BB" w14:textId="77777777" w:rsidR="00E4262B" w:rsidRPr="0018326A" w:rsidRDefault="00E4262B" w:rsidP="00E4262B">
            <w:pPr>
              <w:spacing w:after="0"/>
              <w:rPr>
                <w:sz w:val="18"/>
                <w:szCs w:val="18"/>
              </w:rPr>
            </w:pPr>
            <w:r w:rsidRPr="0018326A">
              <w:rPr>
                <w:b/>
                <w:color w:val="000000"/>
                <w:sz w:val="18"/>
                <w:szCs w:val="18"/>
              </w:rPr>
              <w:t>PRZYKŁAD INNEGO UKOŃCZONEGO PRZEDSIĘWZIĘCIA DEWELOPERSKIEGO</w:t>
            </w:r>
          </w:p>
        </w:tc>
      </w:tr>
      <w:tr w:rsidR="00E4262B" w:rsidRPr="0018326A" w14:paraId="2B736417"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6DAD006E" w14:textId="77777777" w:rsidR="00E4262B" w:rsidRPr="0018326A" w:rsidRDefault="00E4262B" w:rsidP="00E4262B">
            <w:pPr>
              <w:spacing w:after="0"/>
              <w:rPr>
                <w:sz w:val="18"/>
                <w:szCs w:val="18"/>
              </w:rPr>
            </w:pPr>
            <w:r w:rsidRPr="0018326A">
              <w:rPr>
                <w:color w:val="000000"/>
                <w:sz w:val="18"/>
                <w:szCs w:val="18"/>
              </w:rPr>
              <w:t>Adres</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20F67F03" w14:textId="71C703CB" w:rsidR="00E4262B" w:rsidRPr="0018326A" w:rsidRDefault="00E4262B" w:rsidP="00E4262B">
            <w:pPr>
              <w:rPr>
                <w:sz w:val="18"/>
                <w:szCs w:val="18"/>
              </w:rPr>
            </w:pPr>
            <w:r w:rsidRPr="0018326A">
              <w:rPr>
                <w:rFonts w:cs="Calibri"/>
                <w:sz w:val="18"/>
                <w:szCs w:val="18"/>
              </w:rPr>
              <w:t>Arctowskiego 2, 83-000 Pruszcz Gdański</w:t>
            </w:r>
          </w:p>
        </w:tc>
      </w:tr>
      <w:tr w:rsidR="00E4262B" w:rsidRPr="0018326A" w14:paraId="3EF0DB36"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04D3A392" w14:textId="77777777" w:rsidR="00E4262B" w:rsidRPr="0018326A" w:rsidRDefault="00E4262B" w:rsidP="00E4262B">
            <w:pPr>
              <w:spacing w:after="0"/>
              <w:rPr>
                <w:sz w:val="18"/>
                <w:szCs w:val="18"/>
              </w:rPr>
            </w:pPr>
            <w:r w:rsidRPr="0018326A">
              <w:rPr>
                <w:color w:val="000000"/>
                <w:sz w:val="18"/>
                <w:szCs w:val="18"/>
              </w:rPr>
              <w:t>Data rozpoczęcia</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4636CA04" w14:textId="5B6496DC" w:rsidR="00E4262B" w:rsidRPr="0018326A" w:rsidRDefault="00E4262B" w:rsidP="00E4262B">
            <w:pPr>
              <w:rPr>
                <w:sz w:val="18"/>
                <w:szCs w:val="18"/>
              </w:rPr>
            </w:pPr>
            <w:r w:rsidRPr="0018326A">
              <w:rPr>
                <w:rFonts w:cs="Calibri"/>
                <w:sz w:val="18"/>
                <w:szCs w:val="18"/>
              </w:rPr>
              <w:t>maj 2019 r.</w:t>
            </w:r>
            <w:r w:rsidRPr="0018326A">
              <w:rPr>
                <w:rFonts w:cs="Calibri"/>
                <w:sz w:val="18"/>
                <w:szCs w:val="18"/>
              </w:rPr>
              <w:tab/>
            </w:r>
          </w:p>
        </w:tc>
      </w:tr>
      <w:tr w:rsidR="00E4262B" w:rsidRPr="0018326A" w14:paraId="0CE1BE16"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391685B4" w14:textId="77777777" w:rsidR="00E4262B" w:rsidRPr="0018326A" w:rsidRDefault="00E4262B" w:rsidP="00E4262B">
            <w:pPr>
              <w:spacing w:after="0"/>
              <w:rPr>
                <w:sz w:val="18"/>
                <w:szCs w:val="18"/>
              </w:rPr>
            </w:pPr>
            <w:r w:rsidRPr="0018326A">
              <w:rPr>
                <w:color w:val="000000"/>
                <w:sz w:val="18"/>
                <w:szCs w:val="18"/>
              </w:rPr>
              <w:t>Data wydania decyzji o pozwoleniu na użytkowanie</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30141120" w14:textId="2192AA24" w:rsidR="00E4262B" w:rsidRPr="0018326A" w:rsidRDefault="00E4262B" w:rsidP="00E4262B">
            <w:pPr>
              <w:rPr>
                <w:sz w:val="18"/>
                <w:szCs w:val="18"/>
              </w:rPr>
            </w:pPr>
            <w:r w:rsidRPr="0018326A">
              <w:rPr>
                <w:rFonts w:cs="Calibri"/>
                <w:sz w:val="18"/>
                <w:szCs w:val="18"/>
              </w:rPr>
              <w:t>01.12.2021 r.</w:t>
            </w:r>
          </w:p>
        </w:tc>
      </w:tr>
      <w:tr w:rsidR="00E4262B" w:rsidRPr="0018326A" w14:paraId="5A7D250C" w14:textId="77777777" w:rsidTr="0018326A">
        <w:trPr>
          <w:trHeight w:val="45"/>
          <w:tblCellSpacing w:w="0" w:type="auto"/>
        </w:trPr>
        <w:tc>
          <w:tcPr>
            <w:tcW w:w="10065" w:type="dxa"/>
            <w:gridSpan w:val="2"/>
            <w:tcBorders>
              <w:bottom w:val="single" w:sz="8" w:space="0" w:color="000000"/>
              <w:right w:val="single" w:sz="8" w:space="0" w:color="000000"/>
            </w:tcBorders>
            <w:tcMar>
              <w:top w:w="15" w:type="dxa"/>
              <w:left w:w="15" w:type="dxa"/>
              <w:bottom w:w="15" w:type="dxa"/>
              <w:right w:w="15" w:type="dxa"/>
            </w:tcMar>
            <w:vAlign w:val="center"/>
          </w:tcPr>
          <w:p w14:paraId="4B461414" w14:textId="77777777" w:rsidR="00E4262B" w:rsidRPr="0018326A" w:rsidRDefault="00E4262B" w:rsidP="00E4262B">
            <w:pPr>
              <w:spacing w:after="0"/>
              <w:rPr>
                <w:sz w:val="18"/>
                <w:szCs w:val="18"/>
              </w:rPr>
            </w:pPr>
            <w:r w:rsidRPr="0018326A">
              <w:rPr>
                <w:b/>
                <w:color w:val="000000"/>
                <w:sz w:val="18"/>
                <w:szCs w:val="18"/>
              </w:rPr>
              <w:t>PRZYKŁAD OSTATNIEGO UKOŃCZONEGO PRZEDSIĘWZIĘCIA DEWELOPERSKIEGO</w:t>
            </w:r>
          </w:p>
        </w:tc>
      </w:tr>
      <w:tr w:rsidR="00E4262B" w:rsidRPr="0018326A" w14:paraId="78361A9E"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0E0318C6" w14:textId="77777777" w:rsidR="00E4262B" w:rsidRPr="0018326A" w:rsidRDefault="00E4262B" w:rsidP="00E4262B">
            <w:pPr>
              <w:spacing w:after="0"/>
              <w:rPr>
                <w:sz w:val="18"/>
                <w:szCs w:val="18"/>
              </w:rPr>
            </w:pPr>
            <w:r w:rsidRPr="0018326A">
              <w:rPr>
                <w:color w:val="000000"/>
                <w:sz w:val="18"/>
                <w:szCs w:val="18"/>
              </w:rPr>
              <w:t>Adres</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27DA2E7C" w14:textId="629657A6" w:rsidR="00E4262B" w:rsidRPr="0018326A" w:rsidRDefault="00BF7093" w:rsidP="00E4262B">
            <w:pPr>
              <w:rPr>
                <w:sz w:val="18"/>
                <w:szCs w:val="18"/>
              </w:rPr>
            </w:pPr>
            <w:r>
              <w:rPr>
                <w:sz w:val="18"/>
                <w:szCs w:val="18"/>
              </w:rPr>
              <w:t>ul. Dywizjonu 303 3, 83-000 Pruszcz Gdański</w:t>
            </w:r>
          </w:p>
        </w:tc>
      </w:tr>
      <w:tr w:rsidR="00E4262B" w:rsidRPr="0018326A" w14:paraId="43524020"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4EA81BDB" w14:textId="77777777" w:rsidR="00E4262B" w:rsidRPr="0018326A" w:rsidRDefault="00E4262B" w:rsidP="00E4262B">
            <w:pPr>
              <w:spacing w:after="0"/>
              <w:rPr>
                <w:sz w:val="18"/>
                <w:szCs w:val="18"/>
              </w:rPr>
            </w:pPr>
            <w:r w:rsidRPr="0018326A">
              <w:rPr>
                <w:color w:val="000000"/>
                <w:sz w:val="18"/>
                <w:szCs w:val="18"/>
              </w:rPr>
              <w:t>Data rozpoczęcia</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22416F29" w14:textId="6521DAAF" w:rsidR="00E4262B" w:rsidRPr="0018326A" w:rsidRDefault="00BF7093" w:rsidP="00E4262B">
            <w:pPr>
              <w:rPr>
                <w:sz w:val="18"/>
                <w:szCs w:val="18"/>
              </w:rPr>
            </w:pPr>
            <w:r w:rsidRPr="004D6D7A">
              <w:rPr>
                <w:sz w:val="20"/>
                <w:szCs w:val="20"/>
              </w:rPr>
              <w:t>listopad 2023</w:t>
            </w:r>
            <w:r>
              <w:rPr>
                <w:sz w:val="20"/>
                <w:szCs w:val="20"/>
              </w:rPr>
              <w:t xml:space="preserve"> r</w:t>
            </w:r>
            <w:r w:rsidR="00F25F52" w:rsidRPr="000D415E">
              <w:rPr>
                <w:sz w:val="18"/>
                <w:szCs w:val="18"/>
              </w:rPr>
              <w:t>.</w:t>
            </w:r>
          </w:p>
        </w:tc>
      </w:tr>
      <w:tr w:rsidR="00E4262B" w:rsidRPr="0018326A" w14:paraId="1D8A14A0"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4572E95C" w14:textId="77777777" w:rsidR="00E4262B" w:rsidRPr="0018326A" w:rsidRDefault="00E4262B" w:rsidP="00E4262B">
            <w:pPr>
              <w:spacing w:after="0"/>
              <w:rPr>
                <w:sz w:val="18"/>
                <w:szCs w:val="18"/>
              </w:rPr>
            </w:pPr>
            <w:r w:rsidRPr="0018326A">
              <w:rPr>
                <w:color w:val="000000"/>
                <w:sz w:val="18"/>
                <w:szCs w:val="18"/>
              </w:rPr>
              <w:t>Data wydania decyzji o pozwoleniu na użytkowanie</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646F512D" w14:textId="57AA3AD7" w:rsidR="00E4262B" w:rsidRPr="0018326A" w:rsidRDefault="00CE41A8" w:rsidP="00E4262B">
            <w:pPr>
              <w:rPr>
                <w:sz w:val="18"/>
                <w:szCs w:val="18"/>
              </w:rPr>
            </w:pPr>
            <w:r>
              <w:rPr>
                <w:rFonts w:cs="Calibri"/>
                <w:sz w:val="18"/>
                <w:szCs w:val="18"/>
              </w:rPr>
              <w:t>16</w:t>
            </w:r>
            <w:r w:rsidR="00BF7093" w:rsidRPr="00BF7093">
              <w:rPr>
                <w:rFonts w:cs="Calibri"/>
                <w:sz w:val="18"/>
                <w:szCs w:val="18"/>
              </w:rPr>
              <w:t>.04.2026 r.</w:t>
            </w:r>
          </w:p>
        </w:tc>
      </w:tr>
      <w:tr w:rsidR="00E4262B" w:rsidRPr="0018326A" w14:paraId="6BE55F4E" w14:textId="77777777" w:rsidTr="0018326A">
        <w:trPr>
          <w:trHeight w:val="45"/>
          <w:tblCellSpacing w:w="0" w:type="auto"/>
        </w:trPr>
        <w:tc>
          <w:tcPr>
            <w:tcW w:w="3971" w:type="dxa"/>
            <w:tcBorders>
              <w:bottom w:val="single" w:sz="8" w:space="0" w:color="000000"/>
              <w:right w:val="single" w:sz="8" w:space="0" w:color="000000"/>
            </w:tcBorders>
            <w:tcMar>
              <w:top w:w="15" w:type="dxa"/>
              <w:left w:w="15" w:type="dxa"/>
              <w:bottom w:w="15" w:type="dxa"/>
              <w:right w:w="15" w:type="dxa"/>
            </w:tcMar>
            <w:vAlign w:val="center"/>
          </w:tcPr>
          <w:p w14:paraId="5545F978" w14:textId="77777777" w:rsidR="00E4262B" w:rsidRPr="0018326A" w:rsidRDefault="00E4262B" w:rsidP="00E4262B">
            <w:pPr>
              <w:spacing w:after="0"/>
              <w:rPr>
                <w:sz w:val="18"/>
                <w:szCs w:val="18"/>
              </w:rPr>
            </w:pPr>
            <w:r w:rsidRPr="0018326A">
              <w:rPr>
                <w:color w:val="000000"/>
                <w:sz w:val="18"/>
                <w:szCs w:val="18"/>
              </w:rPr>
              <w:t>Czy przeciwko deweloperowi prowadzono lub prowadzi się postępowania egzekucyjne na kwotę powyżej 100 000 zł</w:t>
            </w:r>
          </w:p>
        </w:tc>
        <w:tc>
          <w:tcPr>
            <w:tcW w:w="6094" w:type="dxa"/>
            <w:tcBorders>
              <w:bottom w:val="single" w:sz="8" w:space="0" w:color="000000"/>
              <w:right w:val="single" w:sz="8" w:space="0" w:color="000000"/>
            </w:tcBorders>
            <w:tcMar>
              <w:top w:w="15" w:type="dxa"/>
              <w:left w:w="15" w:type="dxa"/>
              <w:bottom w:w="15" w:type="dxa"/>
              <w:right w:w="15" w:type="dxa"/>
            </w:tcMar>
            <w:vAlign w:val="center"/>
          </w:tcPr>
          <w:p w14:paraId="78804509" w14:textId="4A0E2013" w:rsidR="00E4262B" w:rsidRPr="0018326A" w:rsidRDefault="00E4262B" w:rsidP="00E4262B">
            <w:pPr>
              <w:rPr>
                <w:sz w:val="18"/>
                <w:szCs w:val="18"/>
              </w:rPr>
            </w:pPr>
            <w:r w:rsidRPr="0018326A">
              <w:rPr>
                <w:sz w:val="18"/>
                <w:szCs w:val="18"/>
              </w:rPr>
              <w:t>Nie</w:t>
            </w:r>
          </w:p>
        </w:tc>
      </w:tr>
    </w:tbl>
    <w:p w14:paraId="38A0E1F2" w14:textId="77777777" w:rsidR="00E4262B" w:rsidRPr="0018326A" w:rsidRDefault="00E4262B">
      <w:pPr>
        <w:spacing w:before="25" w:after="0"/>
        <w:jc w:val="both"/>
        <w:rPr>
          <w:b/>
          <w:color w:val="000000"/>
          <w:sz w:val="18"/>
          <w:szCs w:val="18"/>
        </w:rPr>
      </w:pPr>
    </w:p>
    <w:p w14:paraId="5986290C" w14:textId="1AF15D9C" w:rsidR="004151A2" w:rsidRPr="0018326A" w:rsidRDefault="00000000">
      <w:pPr>
        <w:spacing w:before="25" w:after="0"/>
        <w:jc w:val="both"/>
        <w:rPr>
          <w:b/>
          <w:color w:val="000000"/>
          <w:sz w:val="18"/>
          <w:szCs w:val="18"/>
        </w:rPr>
      </w:pPr>
      <w:r w:rsidRPr="0018326A">
        <w:rPr>
          <w:b/>
          <w:color w:val="000000"/>
          <w:sz w:val="18"/>
          <w:szCs w:val="18"/>
        </w:rPr>
        <w:t>III. INFORMACJE DOTYCZĄCE NIERUCHOMOŚCI I PRZEDSIĘWZIĘCIA DEWELOPERSKIEGO</w:t>
      </w:r>
    </w:p>
    <w:p w14:paraId="5E5BB6B6" w14:textId="77777777" w:rsidR="00E4262B" w:rsidRPr="0018326A" w:rsidRDefault="00E4262B">
      <w:pPr>
        <w:spacing w:before="25" w:after="0"/>
        <w:jc w:val="both"/>
        <w:rPr>
          <w:sz w:val="18"/>
          <w:szCs w:val="18"/>
        </w:rPr>
      </w:pPr>
    </w:p>
    <w:tbl>
      <w:tblPr>
        <w:tblW w:w="10774" w:type="dxa"/>
        <w:tblCellSpacing w:w="0" w:type="auto"/>
        <w:tblInd w:w="-86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261"/>
        <w:gridCol w:w="2977"/>
        <w:gridCol w:w="4536"/>
      </w:tblGrid>
      <w:tr w:rsidR="004151A2" w:rsidRPr="0018326A" w14:paraId="0BB6DD68" w14:textId="77777777" w:rsidTr="0018326A">
        <w:trPr>
          <w:trHeight w:val="45"/>
          <w:tblCellSpacing w:w="0" w:type="auto"/>
        </w:trPr>
        <w:tc>
          <w:tcPr>
            <w:tcW w:w="10774" w:type="dxa"/>
            <w:gridSpan w:val="3"/>
            <w:tcBorders>
              <w:bottom w:val="single" w:sz="8" w:space="0" w:color="000000"/>
              <w:right w:val="single" w:sz="8" w:space="0" w:color="000000"/>
            </w:tcBorders>
            <w:tcMar>
              <w:top w:w="15" w:type="dxa"/>
              <w:left w:w="15" w:type="dxa"/>
              <w:bottom w:w="15" w:type="dxa"/>
              <w:right w:w="15" w:type="dxa"/>
            </w:tcMar>
            <w:vAlign w:val="center"/>
          </w:tcPr>
          <w:p w14:paraId="0AE198FD" w14:textId="77777777" w:rsidR="004151A2" w:rsidRPr="0018326A" w:rsidRDefault="00000000">
            <w:pPr>
              <w:spacing w:after="0"/>
              <w:rPr>
                <w:sz w:val="18"/>
                <w:szCs w:val="18"/>
              </w:rPr>
            </w:pPr>
            <w:r w:rsidRPr="0018326A">
              <w:rPr>
                <w:b/>
                <w:color w:val="000000"/>
                <w:sz w:val="18"/>
                <w:szCs w:val="18"/>
              </w:rPr>
              <w:t>INFORMACJE DOTYCZĄCE GRUNTU I ZAGOSPODAROWANIA PRZESTRZENNEGO TERENU</w:t>
            </w:r>
          </w:p>
        </w:tc>
      </w:tr>
      <w:tr w:rsidR="003928F8" w:rsidRPr="0018326A" w14:paraId="4CF3443B"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01589ACE" w14:textId="77777777" w:rsidR="004151A2" w:rsidRPr="0018326A" w:rsidRDefault="00000000">
            <w:pPr>
              <w:spacing w:after="0"/>
              <w:rPr>
                <w:sz w:val="18"/>
                <w:szCs w:val="18"/>
              </w:rPr>
            </w:pPr>
            <w:r w:rsidRPr="0018326A">
              <w:rPr>
                <w:color w:val="000000"/>
                <w:sz w:val="18"/>
                <w:szCs w:val="18"/>
              </w:rPr>
              <w:t>Adres, numer działki ewidencyjnej i numer obrębu ewidencyjnego</w:t>
            </w:r>
            <w:r w:rsidRPr="0018326A">
              <w:rPr>
                <w:color w:val="000000"/>
                <w:sz w:val="18"/>
                <w:szCs w:val="18"/>
                <w:vertAlign w:val="superscript"/>
              </w:rPr>
              <w:t>1</w:t>
            </w:r>
            <w:r w:rsidRPr="0018326A">
              <w:rPr>
                <w:color w:val="000000"/>
                <w:sz w:val="18"/>
                <w:szCs w:val="18"/>
              </w:rPr>
              <w:t>)</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3F3770E8" w14:textId="169C1A00" w:rsidR="004151A2" w:rsidRPr="0018326A" w:rsidRDefault="00784CCF">
            <w:pPr>
              <w:rPr>
                <w:sz w:val="18"/>
                <w:szCs w:val="18"/>
              </w:rPr>
            </w:pPr>
            <w:r>
              <w:rPr>
                <w:rFonts w:cs="Calibri"/>
                <w:sz w:val="18"/>
                <w:szCs w:val="18"/>
              </w:rPr>
              <w:t>Straszyn</w:t>
            </w:r>
            <w:r w:rsidR="00E4262B" w:rsidRPr="0018326A">
              <w:rPr>
                <w:rFonts w:cs="Calibri"/>
                <w:sz w:val="18"/>
                <w:szCs w:val="18"/>
              </w:rPr>
              <w:t xml:space="preserve">, działka ewidencyjna nr </w:t>
            </w:r>
            <w:r w:rsidR="007574FB">
              <w:rPr>
                <w:rFonts w:cs="Calibri"/>
                <w:b/>
                <w:bCs/>
                <w:sz w:val="18"/>
                <w:szCs w:val="18"/>
              </w:rPr>
              <w:t>1981</w:t>
            </w:r>
            <w:r w:rsidR="00E4262B" w:rsidRPr="0018326A">
              <w:rPr>
                <w:rFonts w:cs="Calibri"/>
                <w:sz w:val="18"/>
                <w:szCs w:val="18"/>
              </w:rPr>
              <w:t xml:space="preserve"> obręb </w:t>
            </w:r>
            <w:r w:rsidRPr="00784CCF">
              <w:rPr>
                <w:rFonts w:cs="Calibri"/>
                <w:b/>
                <w:bCs/>
                <w:sz w:val="18"/>
                <w:szCs w:val="18"/>
              </w:rPr>
              <w:t>STRASZYN</w:t>
            </w:r>
            <w:r w:rsidR="00E4262B" w:rsidRPr="0018326A">
              <w:rPr>
                <w:rFonts w:cs="Calibri"/>
                <w:sz w:val="18"/>
                <w:szCs w:val="18"/>
              </w:rPr>
              <w:t xml:space="preserve">, o obszarze </w:t>
            </w:r>
            <w:r w:rsidR="007574FB">
              <w:rPr>
                <w:rFonts w:cs="Calibri"/>
                <w:b/>
                <w:bCs/>
                <w:sz w:val="18"/>
                <w:szCs w:val="18"/>
              </w:rPr>
              <w:t>0,8887</w:t>
            </w:r>
            <w:r w:rsidR="00E4262B" w:rsidRPr="0018326A">
              <w:rPr>
                <w:rFonts w:cs="Calibri"/>
                <w:sz w:val="18"/>
                <w:szCs w:val="18"/>
              </w:rPr>
              <w:t xml:space="preserve"> ha</w:t>
            </w:r>
          </w:p>
        </w:tc>
      </w:tr>
      <w:tr w:rsidR="003928F8" w:rsidRPr="0018326A" w14:paraId="783EE8B5"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2B8D6978" w14:textId="77777777" w:rsidR="004151A2" w:rsidRPr="0018326A" w:rsidRDefault="00000000">
            <w:pPr>
              <w:spacing w:after="0"/>
              <w:rPr>
                <w:sz w:val="18"/>
                <w:szCs w:val="18"/>
              </w:rPr>
            </w:pPr>
            <w:r w:rsidRPr="0018326A">
              <w:rPr>
                <w:color w:val="000000"/>
                <w:sz w:val="18"/>
                <w:szCs w:val="18"/>
              </w:rPr>
              <w:t>Numer księgi wieczystej</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6B13F8DB" w14:textId="58D632CB" w:rsidR="004151A2" w:rsidRPr="00784CCF" w:rsidRDefault="00E4262B">
            <w:pPr>
              <w:rPr>
                <w:b/>
                <w:bCs/>
                <w:sz w:val="18"/>
                <w:szCs w:val="18"/>
              </w:rPr>
            </w:pPr>
            <w:r w:rsidRPr="00784CCF">
              <w:rPr>
                <w:rFonts w:cs="Calibri"/>
                <w:b/>
                <w:bCs/>
                <w:sz w:val="18"/>
                <w:szCs w:val="18"/>
              </w:rPr>
              <w:t>GD1G/</w:t>
            </w:r>
            <w:r w:rsidR="00784CCF">
              <w:rPr>
                <w:rFonts w:cs="Calibri"/>
                <w:b/>
                <w:bCs/>
                <w:sz w:val="18"/>
                <w:szCs w:val="18"/>
              </w:rPr>
              <w:t>00346318/2</w:t>
            </w:r>
          </w:p>
        </w:tc>
      </w:tr>
      <w:tr w:rsidR="003928F8" w:rsidRPr="0018326A" w14:paraId="65DE0B54"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20727166" w14:textId="77777777" w:rsidR="00E4262B" w:rsidRPr="0018326A" w:rsidRDefault="00E4262B" w:rsidP="00E4262B">
            <w:pPr>
              <w:spacing w:after="0"/>
              <w:rPr>
                <w:sz w:val="18"/>
                <w:szCs w:val="18"/>
              </w:rPr>
            </w:pPr>
            <w:r w:rsidRPr="0018326A">
              <w:rPr>
                <w:color w:val="000000"/>
                <w:sz w:val="18"/>
                <w:szCs w:val="18"/>
              </w:rPr>
              <w:t>Istniejące obciążenia hipoteczne nieruchomości lub wnioski o wpis w dziale czwartym księgi wieczystej</w:t>
            </w:r>
          </w:p>
        </w:tc>
        <w:tc>
          <w:tcPr>
            <w:tcW w:w="7513" w:type="dxa"/>
            <w:gridSpan w:val="2"/>
            <w:tcBorders>
              <w:bottom w:val="single" w:sz="8" w:space="0" w:color="000000"/>
              <w:right w:val="single" w:sz="8" w:space="0" w:color="000000"/>
            </w:tcBorders>
            <w:tcMar>
              <w:top w:w="15" w:type="dxa"/>
              <w:left w:w="15" w:type="dxa"/>
              <w:bottom w:w="15" w:type="dxa"/>
              <w:right w:w="15" w:type="dxa"/>
            </w:tcMar>
          </w:tcPr>
          <w:p w14:paraId="3C90E8D7" w14:textId="77777777" w:rsidR="00E4262B" w:rsidRPr="0018326A" w:rsidRDefault="00E4262B" w:rsidP="00E4262B">
            <w:pPr>
              <w:pStyle w:val="Zwykytekst"/>
              <w:jc w:val="both"/>
              <w:rPr>
                <w:rFonts w:ascii="Times New Roman" w:eastAsia="Times New Roman" w:hAnsi="Times New Roman" w:cs="Calibri"/>
                <w:sz w:val="18"/>
                <w:szCs w:val="18"/>
                <w:lang w:eastAsia="pl-PL"/>
              </w:rPr>
            </w:pPr>
          </w:p>
          <w:p w14:paraId="1E414771" w14:textId="77777777" w:rsidR="00E4262B" w:rsidRPr="0018326A" w:rsidRDefault="00E4262B" w:rsidP="00E4262B">
            <w:pPr>
              <w:pStyle w:val="Zwykytekst"/>
              <w:jc w:val="both"/>
              <w:rPr>
                <w:rFonts w:ascii="Times New Roman" w:eastAsia="Times New Roman" w:hAnsi="Times New Roman" w:cs="Calibri"/>
                <w:sz w:val="18"/>
                <w:szCs w:val="18"/>
                <w:lang w:eastAsia="pl-PL"/>
              </w:rPr>
            </w:pPr>
            <w:r w:rsidRPr="0018326A">
              <w:rPr>
                <w:rFonts w:ascii="Times New Roman" w:eastAsia="Times New Roman" w:hAnsi="Times New Roman" w:cs="Calibri"/>
                <w:sz w:val="18"/>
                <w:szCs w:val="18"/>
                <w:lang w:eastAsia="pl-PL"/>
              </w:rPr>
              <w:t>Nie dotyczy</w:t>
            </w:r>
          </w:p>
          <w:p w14:paraId="61752374" w14:textId="77777777" w:rsidR="00E4262B" w:rsidRPr="0018326A" w:rsidRDefault="00E4262B" w:rsidP="00E4262B">
            <w:pPr>
              <w:rPr>
                <w:rFonts w:cs="Calibri"/>
                <w:sz w:val="18"/>
                <w:szCs w:val="18"/>
              </w:rPr>
            </w:pPr>
          </w:p>
        </w:tc>
      </w:tr>
      <w:tr w:rsidR="003928F8" w:rsidRPr="0018326A" w14:paraId="7219E466"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12658ED4" w14:textId="77777777" w:rsidR="00E4262B" w:rsidRPr="0018326A" w:rsidRDefault="00E4262B" w:rsidP="00E4262B">
            <w:pPr>
              <w:spacing w:after="0"/>
              <w:rPr>
                <w:sz w:val="18"/>
                <w:szCs w:val="18"/>
              </w:rPr>
            </w:pPr>
            <w:r w:rsidRPr="0018326A">
              <w:rPr>
                <w:color w:val="000000"/>
                <w:sz w:val="18"/>
                <w:szCs w:val="18"/>
              </w:rPr>
              <w:t>W przypadku braku księgi wieczystej informacja o powierzchni działki i stanie prawnym nieruchomości</w:t>
            </w:r>
            <w:r w:rsidRPr="0018326A">
              <w:rPr>
                <w:color w:val="000000"/>
                <w:sz w:val="18"/>
                <w:szCs w:val="18"/>
                <w:vertAlign w:val="superscript"/>
              </w:rPr>
              <w:t>2</w:t>
            </w:r>
            <w:r w:rsidRPr="0018326A">
              <w:rPr>
                <w:color w:val="000000"/>
                <w:sz w:val="18"/>
                <w:szCs w:val="18"/>
              </w:rPr>
              <w:t>)</w:t>
            </w:r>
          </w:p>
        </w:tc>
        <w:tc>
          <w:tcPr>
            <w:tcW w:w="7513" w:type="dxa"/>
            <w:gridSpan w:val="2"/>
            <w:tcBorders>
              <w:bottom w:val="single" w:sz="8" w:space="0" w:color="000000"/>
              <w:right w:val="single" w:sz="8" w:space="0" w:color="000000"/>
            </w:tcBorders>
            <w:tcMar>
              <w:top w:w="15" w:type="dxa"/>
              <w:left w:w="15" w:type="dxa"/>
              <w:bottom w:w="15" w:type="dxa"/>
              <w:right w:w="15" w:type="dxa"/>
            </w:tcMar>
          </w:tcPr>
          <w:p w14:paraId="5D42A669" w14:textId="77777777" w:rsidR="00E4262B" w:rsidRPr="0018326A" w:rsidRDefault="00E4262B" w:rsidP="00E4262B">
            <w:pPr>
              <w:pStyle w:val="Zwykytekst"/>
              <w:jc w:val="both"/>
              <w:rPr>
                <w:rFonts w:ascii="Times New Roman" w:eastAsia="Times New Roman" w:hAnsi="Times New Roman" w:cs="Calibri"/>
                <w:sz w:val="18"/>
                <w:szCs w:val="18"/>
                <w:lang w:eastAsia="pl-PL"/>
              </w:rPr>
            </w:pPr>
          </w:p>
          <w:p w14:paraId="60F70493" w14:textId="77777777" w:rsidR="00E4262B" w:rsidRPr="0018326A" w:rsidRDefault="00E4262B" w:rsidP="00E4262B">
            <w:pPr>
              <w:pStyle w:val="Zwykytekst"/>
              <w:jc w:val="both"/>
              <w:rPr>
                <w:rFonts w:ascii="Times New Roman" w:eastAsia="Times New Roman" w:hAnsi="Times New Roman" w:cs="Calibri"/>
                <w:sz w:val="18"/>
                <w:szCs w:val="18"/>
                <w:lang w:eastAsia="pl-PL"/>
              </w:rPr>
            </w:pPr>
            <w:r w:rsidRPr="0018326A">
              <w:rPr>
                <w:rFonts w:ascii="Times New Roman" w:eastAsia="Times New Roman" w:hAnsi="Times New Roman" w:cs="Calibri"/>
                <w:sz w:val="18"/>
                <w:szCs w:val="18"/>
                <w:lang w:eastAsia="pl-PL"/>
              </w:rPr>
              <w:t>Nie dotyczy</w:t>
            </w:r>
          </w:p>
          <w:p w14:paraId="5D25116A" w14:textId="77777777" w:rsidR="00E4262B" w:rsidRPr="0018326A" w:rsidRDefault="00E4262B" w:rsidP="00E4262B">
            <w:pPr>
              <w:rPr>
                <w:rFonts w:cs="Calibri"/>
                <w:sz w:val="18"/>
                <w:szCs w:val="18"/>
              </w:rPr>
            </w:pPr>
          </w:p>
        </w:tc>
      </w:tr>
      <w:tr w:rsidR="003928F8" w:rsidRPr="0018326A" w14:paraId="75AAA4F4"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665C158A" w14:textId="77777777" w:rsidR="00E4262B" w:rsidRPr="0018326A" w:rsidRDefault="00E4262B" w:rsidP="00E4262B">
            <w:pPr>
              <w:spacing w:after="0"/>
              <w:rPr>
                <w:sz w:val="18"/>
                <w:szCs w:val="18"/>
              </w:rPr>
            </w:pPr>
            <w:r w:rsidRPr="0018326A">
              <w:rPr>
                <w:color w:val="000000"/>
                <w:sz w:val="18"/>
                <w:szCs w:val="18"/>
              </w:rPr>
              <w:t>Informacje dotyczące obiektów istniejących położonych w sąsiedztwie inwestycji i wpływających na warunki życia</w:t>
            </w:r>
            <w:r w:rsidRPr="0018326A">
              <w:rPr>
                <w:color w:val="000000"/>
                <w:sz w:val="18"/>
                <w:szCs w:val="18"/>
                <w:vertAlign w:val="superscript"/>
              </w:rPr>
              <w:t>3</w:t>
            </w:r>
            <w:r w:rsidRPr="0018326A">
              <w:rPr>
                <w:color w:val="000000"/>
                <w:sz w:val="18"/>
                <w:szCs w:val="18"/>
              </w:rPr>
              <w:t>)</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66B0B189" w14:textId="77777777" w:rsidR="00E4262B" w:rsidRPr="0018326A" w:rsidRDefault="00E4262B" w:rsidP="00E4262B">
            <w:pPr>
              <w:shd w:val="clear" w:color="auto" w:fill="FFFFFF"/>
              <w:suppressAutoHyphens/>
              <w:snapToGrid w:val="0"/>
              <w:spacing w:after="0" w:line="240" w:lineRule="auto"/>
              <w:rPr>
                <w:rFonts w:cs="Calibri"/>
                <w:sz w:val="18"/>
                <w:szCs w:val="18"/>
              </w:rPr>
            </w:pPr>
            <w:r w:rsidRPr="0018326A">
              <w:rPr>
                <w:rFonts w:cs="Calibri"/>
                <w:sz w:val="18"/>
                <w:szCs w:val="18"/>
              </w:rPr>
              <w:t>Istniejące obiekty położone w sąsiedztwie inwestycji wpływające na warunki życia:</w:t>
            </w:r>
          </w:p>
          <w:p w14:paraId="079D6F8A" w14:textId="77777777" w:rsidR="00E4262B" w:rsidRPr="000D76C5" w:rsidRDefault="00784CCF" w:rsidP="00E4262B">
            <w:pPr>
              <w:numPr>
                <w:ilvl w:val="0"/>
                <w:numId w:val="2"/>
              </w:numPr>
              <w:shd w:val="clear" w:color="auto" w:fill="FFFFFF"/>
              <w:suppressAutoHyphens/>
              <w:snapToGrid w:val="0"/>
              <w:spacing w:after="0" w:line="240" w:lineRule="auto"/>
              <w:rPr>
                <w:rFonts w:cs="Calibri"/>
                <w:sz w:val="18"/>
                <w:szCs w:val="18"/>
              </w:rPr>
            </w:pPr>
            <w:r w:rsidRPr="000D76C5">
              <w:rPr>
                <w:rFonts w:cs="Calibri"/>
                <w:sz w:val="18"/>
                <w:szCs w:val="18"/>
              </w:rPr>
              <w:t>Droga wojewódzka nr 222</w:t>
            </w:r>
          </w:p>
          <w:p w14:paraId="75B32BF7" w14:textId="5DCF922E" w:rsidR="00784CCF" w:rsidRPr="0018326A" w:rsidRDefault="00784CCF" w:rsidP="00E4262B">
            <w:pPr>
              <w:numPr>
                <w:ilvl w:val="0"/>
                <w:numId w:val="2"/>
              </w:numPr>
              <w:shd w:val="clear" w:color="auto" w:fill="FFFFFF"/>
              <w:suppressAutoHyphens/>
              <w:snapToGrid w:val="0"/>
              <w:spacing w:after="0" w:line="240" w:lineRule="auto"/>
              <w:rPr>
                <w:rFonts w:cs="Calibri"/>
                <w:sz w:val="18"/>
                <w:szCs w:val="18"/>
              </w:rPr>
            </w:pPr>
            <w:r w:rsidRPr="000D76C5">
              <w:rPr>
                <w:rFonts w:cs="Calibri"/>
                <w:sz w:val="18"/>
                <w:szCs w:val="18"/>
              </w:rPr>
              <w:t>Nieczynna linia kolejowa nr 229 Pruszcz Gdański – Łeba</w:t>
            </w:r>
          </w:p>
        </w:tc>
      </w:tr>
      <w:tr w:rsidR="003928F8" w:rsidRPr="0018326A" w14:paraId="3D673E14"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2E871928" w14:textId="77777777" w:rsidR="00E4262B" w:rsidRPr="0018326A" w:rsidRDefault="00E4262B" w:rsidP="00E4262B">
            <w:pPr>
              <w:spacing w:after="0"/>
              <w:rPr>
                <w:sz w:val="18"/>
                <w:szCs w:val="18"/>
              </w:rPr>
            </w:pPr>
            <w:r w:rsidRPr="0018326A">
              <w:rPr>
                <w:color w:val="000000"/>
                <w:sz w:val="18"/>
                <w:szCs w:val="18"/>
              </w:rPr>
              <w:t>Akty planowania przestrzennego i inne akty prawne na terenie objętym przedsięwzięciem deweloperskim lub zadaniem inwestycyjnym</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FDCD865" w14:textId="77777777" w:rsidR="00E4262B" w:rsidRPr="00BF7093" w:rsidRDefault="00E4262B" w:rsidP="00E4262B">
            <w:pPr>
              <w:spacing w:after="0"/>
              <w:rPr>
                <w:strike/>
                <w:sz w:val="18"/>
                <w:szCs w:val="18"/>
              </w:rPr>
            </w:pPr>
            <w:r w:rsidRPr="00BF7093">
              <w:rPr>
                <w:strike/>
                <w:color w:val="000000"/>
                <w:sz w:val="18"/>
                <w:szCs w:val="18"/>
              </w:rPr>
              <w:t>Plan ogólny gminy</w:t>
            </w:r>
          </w:p>
        </w:tc>
        <w:tc>
          <w:tcPr>
            <w:tcW w:w="4536" w:type="dxa"/>
            <w:vMerge w:val="restart"/>
            <w:tcBorders>
              <w:bottom w:val="single" w:sz="8" w:space="0" w:color="000000"/>
              <w:right w:val="single" w:sz="8" w:space="0" w:color="000000"/>
            </w:tcBorders>
            <w:tcMar>
              <w:top w:w="15" w:type="dxa"/>
              <w:left w:w="15" w:type="dxa"/>
              <w:bottom w:w="15" w:type="dxa"/>
              <w:right w:w="15" w:type="dxa"/>
            </w:tcMar>
            <w:vAlign w:val="center"/>
          </w:tcPr>
          <w:p w14:paraId="4821FCCE" w14:textId="1517ED58" w:rsidR="00977064" w:rsidRPr="00977064" w:rsidRDefault="00F926FE" w:rsidP="00977064">
            <w:pPr>
              <w:spacing w:after="0"/>
              <w:jc w:val="center"/>
              <w:rPr>
                <w:rFonts w:cs="Calibri"/>
                <w:sz w:val="18"/>
                <w:szCs w:val="18"/>
              </w:rPr>
            </w:pPr>
            <w:r w:rsidRPr="0018326A">
              <w:rPr>
                <w:rFonts w:cs="Calibri"/>
                <w:sz w:val="18"/>
                <w:szCs w:val="18"/>
              </w:rPr>
              <w:t>Miejscowy plan zagospodarowania przestrzennego przyjęty Uchwałą</w:t>
            </w:r>
            <w:r w:rsidR="00B93ABC" w:rsidRPr="0018326A">
              <w:rPr>
                <w:rFonts w:cs="Calibri"/>
                <w:sz w:val="18"/>
                <w:szCs w:val="18"/>
              </w:rPr>
              <w:t xml:space="preserve"> </w:t>
            </w:r>
            <w:r w:rsidRPr="0018326A">
              <w:rPr>
                <w:rFonts w:cs="Calibri"/>
                <w:sz w:val="18"/>
                <w:szCs w:val="18"/>
              </w:rPr>
              <w:t>nr</w:t>
            </w:r>
            <w:r w:rsidR="00B93ABC" w:rsidRPr="0018326A">
              <w:rPr>
                <w:rFonts w:cs="Calibri"/>
                <w:sz w:val="18"/>
                <w:szCs w:val="18"/>
              </w:rPr>
              <w:t xml:space="preserve"> </w:t>
            </w:r>
            <w:r w:rsidR="004D0888">
              <w:rPr>
                <w:rFonts w:cs="Calibri"/>
                <w:sz w:val="18"/>
                <w:szCs w:val="18"/>
              </w:rPr>
              <w:t>XXXII/178/2005</w:t>
            </w:r>
            <w:r w:rsidR="008D3F32">
              <w:rPr>
                <w:rFonts w:cs="Calibri"/>
                <w:sz w:val="18"/>
                <w:szCs w:val="18"/>
              </w:rPr>
              <w:t xml:space="preserve"> Rady Gminy Pruszcz Gdański z dnia 10 sierpnia 2005r. zmieniona Uchwałą nr </w:t>
            </w:r>
            <w:r w:rsidR="00977064" w:rsidRPr="00977064">
              <w:rPr>
                <w:rFonts w:cs="Calibri"/>
                <w:sz w:val="18"/>
                <w:szCs w:val="18"/>
              </w:rPr>
              <w:t>LI/21/2023</w:t>
            </w:r>
          </w:p>
          <w:p w14:paraId="2850F1B0" w14:textId="77777777" w:rsidR="00977064" w:rsidRPr="00977064" w:rsidRDefault="00977064" w:rsidP="00977064">
            <w:pPr>
              <w:spacing w:after="0"/>
              <w:jc w:val="center"/>
              <w:rPr>
                <w:rFonts w:cs="Calibri"/>
                <w:sz w:val="18"/>
                <w:szCs w:val="18"/>
              </w:rPr>
            </w:pPr>
            <w:r w:rsidRPr="00977064">
              <w:rPr>
                <w:rFonts w:cs="Calibri"/>
                <w:sz w:val="18"/>
                <w:szCs w:val="18"/>
              </w:rPr>
              <w:t>Rady Gminy Pruszcz Gdański</w:t>
            </w:r>
            <w:r>
              <w:rPr>
                <w:rFonts w:cs="Calibri"/>
                <w:sz w:val="18"/>
                <w:szCs w:val="18"/>
              </w:rPr>
              <w:t xml:space="preserve"> </w:t>
            </w:r>
            <w:r w:rsidR="00B93ABC" w:rsidRPr="0018326A">
              <w:rPr>
                <w:rFonts w:cs="Calibri"/>
                <w:sz w:val="18"/>
                <w:szCs w:val="18"/>
              </w:rPr>
              <w:t xml:space="preserve">z dnia </w:t>
            </w:r>
            <w:r>
              <w:rPr>
                <w:rFonts w:cs="Calibri"/>
                <w:sz w:val="18"/>
                <w:szCs w:val="18"/>
              </w:rPr>
              <w:t>24 lutego 2023</w:t>
            </w:r>
            <w:r w:rsidR="00B93ABC" w:rsidRPr="0018326A">
              <w:rPr>
                <w:rFonts w:cs="Calibri"/>
                <w:sz w:val="18"/>
                <w:szCs w:val="18"/>
              </w:rPr>
              <w:t xml:space="preserve"> r. </w:t>
            </w:r>
            <w:r w:rsidRPr="00977064">
              <w:rPr>
                <w:rFonts w:cs="Calibri"/>
                <w:sz w:val="18"/>
                <w:szCs w:val="18"/>
              </w:rPr>
              <w:t>w sprawie zmiany miejscowego planu zagospodarowania przestrzennego Gminy Pruszcz Gdański – część</w:t>
            </w:r>
          </w:p>
          <w:p w14:paraId="26664B66" w14:textId="000A981F" w:rsidR="00E4262B" w:rsidRPr="0018326A" w:rsidRDefault="00977064" w:rsidP="00977064">
            <w:pPr>
              <w:spacing w:after="0"/>
              <w:jc w:val="center"/>
              <w:rPr>
                <w:sz w:val="18"/>
                <w:szCs w:val="18"/>
              </w:rPr>
            </w:pPr>
            <w:r w:rsidRPr="00977064">
              <w:rPr>
                <w:rFonts w:cs="Calibri"/>
                <w:sz w:val="18"/>
                <w:szCs w:val="18"/>
              </w:rPr>
              <w:t>wyżynna</w:t>
            </w:r>
          </w:p>
        </w:tc>
      </w:tr>
      <w:tr w:rsidR="003928F8" w:rsidRPr="0018326A" w14:paraId="20EC3B6D" w14:textId="77777777" w:rsidTr="00821D06">
        <w:trPr>
          <w:trHeight w:val="45"/>
          <w:tblCellSpacing w:w="0" w:type="auto"/>
        </w:trPr>
        <w:tc>
          <w:tcPr>
            <w:tcW w:w="3261" w:type="dxa"/>
            <w:vMerge/>
            <w:tcBorders>
              <w:top w:val="nil"/>
              <w:bottom w:val="single" w:sz="8" w:space="0" w:color="000000"/>
              <w:right w:val="single" w:sz="8" w:space="0" w:color="000000"/>
            </w:tcBorders>
          </w:tcPr>
          <w:p w14:paraId="3CC55DAE"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AA7C2EF" w14:textId="77777777" w:rsidR="00E4262B" w:rsidRPr="0018326A" w:rsidRDefault="00E4262B" w:rsidP="00E4262B">
            <w:pPr>
              <w:spacing w:after="0"/>
              <w:rPr>
                <w:sz w:val="18"/>
                <w:szCs w:val="18"/>
              </w:rPr>
            </w:pPr>
            <w:r w:rsidRPr="0018326A">
              <w:rPr>
                <w:color w:val="000000"/>
                <w:sz w:val="18"/>
                <w:szCs w:val="18"/>
              </w:rPr>
              <w:t>Miejscowy plan zagospodarowania przestrzennego</w:t>
            </w:r>
          </w:p>
        </w:tc>
        <w:tc>
          <w:tcPr>
            <w:tcW w:w="4536" w:type="dxa"/>
            <w:vMerge/>
            <w:tcBorders>
              <w:top w:val="nil"/>
              <w:bottom w:val="single" w:sz="8" w:space="0" w:color="000000"/>
              <w:right w:val="single" w:sz="8" w:space="0" w:color="000000"/>
            </w:tcBorders>
          </w:tcPr>
          <w:p w14:paraId="10EE4C27" w14:textId="77777777" w:rsidR="00E4262B" w:rsidRPr="0018326A" w:rsidRDefault="00E4262B" w:rsidP="004B767D">
            <w:pPr>
              <w:jc w:val="center"/>
              <w:rPr>
                <w:sz w:val="18"/>
                <w:szCs w:val="18"/>
              </w:rPr>
            </w:pPr>
          </w:p>
        </w:tc>
      </w:tr>
      <w:tr w:rsidR="003928F8" w:rsidRPr="0018326A" w14:paraId="1A1228D3" w14:textId="77777777" w:rsidTr="00821D06">
        <w:trPr>
          <w:trHeight w:val="45"/>
          <w:tblCellSpacing w:w="0" w:type="auto"/>
        </w:trPr>
        <w:tc>
          <w:tcPr>
            <w:tcW w:w="3261" w:type="dxa"/>
            <w:vMerge/>
            <w:tcBorders>
              <w:top w:val="nil"/>
              <w:bottom w:val="single" w:sz="8" w:space="0" w:color="000000"/>
              <w:right w:val="single" w:sz="8" w:space="0" w:color="000000"/>
            </w:tcBorders>
          </w:tcPr>
          <w:p w14:paraId="21B09479"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E3CB190" w14:textId="77777777" w:rsidR="00E4262B" w:rsidRPr="00BF7093" w:rsidRDefault="00E4262B" w:rsidP="00E4262B">
            <w:pPr>
              <w:spacing w:after="0"/>
              <w:rPr>
                <w:strike/>
                <w:sz w:val="18"/>
                <w:szCs w:val="18"/>
              </w:rPr>
            </w:pPr>
            <w:r w:rsidRPr="00BF7093">
              <w:rPr>
                <w:strike/>
                <w:color w:val="000000"/>
                <w:sz w:val="18"/>
                <w:szCs w:val="18"/>
              </w:rPr>
              <w:t>Miejscowy plan odbudowy</w:t>
            </w:r>
          </w:p>
        </w:tc>
        <w:tc>
          <w:tcPr>
            <w:tcW w:w="4536" w:type="dxa"/>
            <w:vMerge/>
            <w:tcBorders>
              <w:top w:val="nil"/>
              <w:bottom w:val="single" w:sz="8" w:space="0" w:color="000000"/>
              <w:right w:val="single" w:sz="8" w:space="0" w:color="000000"/>
            </w:tcBorders>
          </w:tcPr>
          <w:p w14:paraId="49749F5A" w14:textId="77777777" w:rsidR="00E4262B" w:rsidRPr="0018326A" w:rsidRDefault="00E4262B" w:rsidP="004B767D">
            <w:pPr>
              <w:jc w:val="center"/>
              <w:rPr>
                <w:sz w:val="18"/>
                <w:szCs w:val="18"/>
              </w:rPr>
            </w:pPr>
          </w:p>
        </w:tc>
      </w:tr>
      <w:tr w:rsidR="003928F8" w:rsidRPr="0018326A" w14:paraId="472CE5D2" w14:textId="77777777" w:rsidTr="00821D06">
        <w:trPr>
          <w:trHeight w:val="45"/>
          <w:tblCellSpacing w:w="0" w:type="auto"/>
        </w:trPr>
        <w:tc>
          <w:tcPr>
            <w:tcW w:w="3261" w:type="dxa"/>
            <w:vMerge/>
            <w:tcBorders>
              <w:top w:val="nil"/>
              <w:bottom w:val="single" w:sz="8" w:space="0" w:color="000000"/>
              <w:right w:val="single" w:sz="8" w:space="0" w:color="000000"/>
            </w:tcBorders>
          </w:tcPr>
          <w:p w14:paraId="45B4D40F"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5382023" w14:textId="77777777" w:rsidR="00E4262B" w:rsidRPr="00BF7093" w:rsidRDefault="00E4262B" w:rsidP="00E4262B">
            <w:pPr>
              <w:spacing w:after="0"/>
              <w:rPr>
                <w:strike/>
                <w:sz w:val="18"/>
                <w:szCs w:val="18"/>
              </w:rPr>
            </w:pPr>
            <w:r w:rsidRPr="00BF7093">
              <w:rPr>
                <w:strike/>
                <w:color w:val="000000"/>
                <w:sz w:val="18"/>
                <w:szCs w:val="18"/>
              </w:rPr>
              <w:t>Inne</w:t>
            </w:r>
            <w:r w:rsidRPr="00BF7093">
              <w:rPr>
                <w:strike/>
                <w:color w:val="000000"/>
                <w:sz w:val="18"/>
                <w:szCs w:val="18"/>
                <w:vertAlign w:val="superscript"/>
              </w:rPr>
              <w:t>4</w:t>
            </w:r>
            <w:r w:rsidRPr="00BF7093">
              <w:rPr>
                <w:strike/>
                <w:color w:val="000000"/>
                <w:sz w:val="18"/>
                <w:szCs w:val="18"/>
              </w:rPr>
              <w:t>)</w:t>
            </w:r>
          </w:p>
        </w:tc>
        <w:tc>
          <w:tcPr>
            <w:tcW w:w="4536" w:type="dxa"/>
            <w:vMerge/>
            <w:tcBorders>
              <w:top w:val="nil"/>
              <w:bottom w:val="single" w:sz="8" w:space="0" w:color="000000"/>
              <w:right w:val="single" w:sz="8" w:space="0" w:color="000000"/>
            </w:tcBorders>
          </w:tcPr>
          <w:p w14:paraId="1535ACA5" w14:textId="77777777" w:rsidR="00E4262B" w:rsidRPr="0018326A" w:rsidRDefault="00E4262B" w:rsidP="004B767D">
            <w:pPr>
              <w:jc w:val="center"/>
              <w:rPr>
                <w:sz w:val="18"/>
                <w:szCs w:val="18"/>
              </w:rPr>
            </w:pPr>
          </w:p>
        </w:tc>
      </w:tr>
      <w:tr w:rsidR="003928F8" w:rsidRPr="0018326A" w14:paraId="7AA08A57"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207985C1" w14:textId="77777777" w:rsidR="00E4262B" w:rsidRPr="0018326A" w:rsidRDefault="00E4262B" w:rsidP="00E4262B">
            <w:pPr>
              <w:spacing w:after="0"/>
              <w:rPr>
                <w:sz w:val="18"/>
                <w:szCs w:val="18"/>
              </w:rPr>
            </w:pPr>
            <w:r w:rsidRPr="0018326A">
              <w:rPr>
                <w:color w:val="000000"/>
                <w:sz w:val="18"/>
                <w:szCs w:val="18"/>
              </w:rPr>
              <w:t>Ustalenia obowiązującego miejscowego planu zagospodarowania przestrzennego dla terenu objętego przedsięwzięciem deweloperskim lub zadaniem inwestycyjnym</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10CF622" w14:textId="77777777" w:rsidR="00E4262B" w:rsidRPr="0018326A" w:rsidRDefault="00E4262B" w:rsidP="00E4262B">
            <w:pPr>
              <w:spacing w:after="0"/>
              <w:rPr>
                <w:sz w:val="18"/>
                <w:szCs w:val="18"/>
              </w:rPr>
            </w:pPr>
            <w:r w:rsidRPr="0018326A">
              <w:rPr>
                <w:color w:val="000000"/>
                <w:sz w:val="18"/>
                <w:szCs w:val="18"/>
              </w:rPr>
              <w:t>Przeznaczenie terenu</w:t>
            </w:r>
          </w:p>
        </w:tc>
        <w:tc>
          <w:tcPr>
            <w:tcW w:w="4536" w:type="dxa"/>
            <w:tcBorders>
              <w:bottom w:val="single" w:sz="8" w:space="0" w:color="000000"/>
              <w:right w:val="single" w:sz="8" w:space="0" w:color="000000"/>
            </w:tcBorders>
            <w:tcMar>
              <w:top w:w="15" w:type="dxa"/>
              <w:left w:w="15" w:type="dxa"/>
              <w:bottom w:w="15" w:type="dxa"/>
              <w:right w:w="15" w:type="dxa"/>
            </w:tcMar>
          </w:tcPr>
          <w:p w14:paraId="03DFFB16" w14:textId="6DC8F328" w:rsidR="00E4262B" w:rsidRDefault="00EC468E" w:rsidP="00EC468E">
            <w:pPr>
              <w:jc w:val="center"/>
              <w:rPr>
                <w:sz w:val="18"/>
                <w:szCs w:val="18"/>
              </w:rPr>
            </w:pPr>
            <w:r>
              <w:rPr>
                <w:sz w:val="18"/>
                <w:szCs w:val="18"/>
              </w:rPr>
              <w:t xml:space="preserve">Teren </w:t>
            </w:r>
            <w:r w:rsidRPr="00EC468E">
              <w:rPr>
                <w:sz w:val="18"/>
                <w:szCs w:val="18"/>
              </w:rPr>
              <w:t>zabudow</w:t>
            </w:r>
            <w:r>
              <w:rPr>
                <w:sz w:val="18"/>
                <w:szCs w:val="18"/>
              </w:rPr>
              <w:t>y</w:t>
            </w:r>
            <w:r w:rsidRPr="00EC468E">
              <w:rPr>
                <w:sz w:val="18"/>
                <w:szCs w:val="18"/>
              </w:rPr>
              <w:t xml:space="preserve"> mieszkaniow</w:t>
            </w:r>
            <w:r>
              <w:rPr>
                <w:sz w:val="18"/>
                <w:szCs w:val="18"/>
              </w:rPr>
              <w:t>ej</w:t>
            </w:r>
            <w:r w:rsidRPr="00EC468E">
              <w:rPr>
                <w:sz w:val="18"/>
                <w:szCs w:val="18"/>
              </w:rPr>
              <w:t xml:space="preserve"> mieszan</w:t>
            </w:r>
            <w:r>
              <w:rPr>
                <w:sz w:val="18"/>
                <w:szCs w:val="18"/>
              </w:rPr>
              <w:t>ej</w:t>
            </w:r>
            <w:r w:rsidRPr="00EC468E">
              <w:rPr>
                <w:sz w:val="18"/>
                <w:szCs w:val="18"/>
              </w:rPr>
              <w:t xml:space="preserve"> jednorodzinn</w:t>
            </w:r>
            <w:r>
              <w:rPr>
                <w:sz w:val="18"/>
                <w:szCs w:val="18"/>
              </w:rPr>
              <w:t>ej</w:t>
            </w:r>
            <w:r w:rsidR="00E2723C">
              <w:rPr>
                <w:sz w:val="18"/>
                <w:szCs w:val="18"/>
              </w:rPr>
              <w:t xml:space="preserve"> </w:t>
            </w:r>
            <w:r w:rsidRPr="00EC468E">
              <w:rPr>
                <w:sz w:val="18"/>
                <w:szCs w:val="18"/>
              </w:rPr>
              <w:t>i wielorodzinn</w:t>
            </w:r>
            <w:r>
              <w:rPr>
                <w:sz w:val="18"/>
                <w:szCs w:val="18"/>
              </w:rPr>
              <w:t>ej</w:t>
            </w:r>
            <w:r w:rsidR="005A49FE">
              <w:rPr>
                <w:sz w:val="18"/>
                <w:szCs w:val="18"/>
              </w:rPr>
              <w:t>. Nie ustala się proporcji udziału zabudowy jednorodzinnej i wielorodzinnej</w:t>
            </w:r>
          </w:p>
          <w:p w14:paraId="194B58F6" w14:textId="148353A7" w:rsidR="009A392F" w:rsidRPr="0018326A" w:rsidRDefault="009A392F" w:rsidP="009A392F">
            <w:pPr>
              <w:jc w:val="center"/>
              <w:rPr>
                <w:sz w:val="18"/>
                <w:szCs w:val="18"/>
              </w:rPr>
            </w:pPr>
            <w:r>
              <w:rPr>
                <w:sz w:val="18"/>
                <w:szCs w:val="18"/>
              </w:rPr>
              <w:t>Dopuszczone przeznaczenie: dopuszcza się realizację usług wynikających z potrzeb tworzenia zespołów mieszkalnych</w:t>
            </w:r>
          </w:p>
        </w:tc>
      </w:tr>
      <w:tr w:rsidR="003928F8" w:rsidRPr="0018326A" w14:paraId="7C937612" w14:textId="77777777" w:rsidTr="00821D06">
        <w:trPr>
          <w:trHeight w:val="45"/>
          <w:tblCellSpacing w:w="0" w:type="auto"/>
        </w:trPr>
        <w:tc>
          <w:tcPr>
            <w:tcW w:w="3261" w:type="dxa"/>
            <w:vMerge/>
            <w:tcBorders>
              <w:top w:val="nil"/>
              <w:bottom w:val="single" w:sz="8" w:space="0" w:color="000000"/>
              <w:right w:val="single" w:sz="8" w:space="0" w:color="000000"/>
            </w:tcBorders>
          </w:tcPr>
          <w:p w14:paraId="7BE8158D"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18FBC6F" w14:textId="77777777" w:rsidR="00E4262B" w:rsidRPr="0018326A" w:rsidRDefault="00E4262B" w:rsidP="00E4262B">
            <w:pPr>
              <w:spacing w:after="0"/>
              <w:rPr>
                <w:sz w:val="18"/>
                <w:szCs w:val="18"/>
              </w:rPr>
            </w:pPr>
            <w:r w:rsidRPr="0018326A">
              <w:rPr>
                <w:color w:val="000000"/>
                <w:sz w:val="18"/>
                <w:szCs w:val="18"/>
              </w:rPr>
              <w:t>Maksymalna intensywność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523CABB1" w14:textId="13D06659" w:rsidR="00E4262B" w:rsidRPr="000D76C5" w:rsidRDefault="00FA4805" w:rsidP="004B767D">
            <w:pPr>
              <w:jc w:val="center"/>
              <w:rPr>
                <w:sz w:val="18"/>
                <w:szCs w:val="18"/>
              </w:rPr>
            </w:pPr>
            <w:r w:rsidRPr="000D76C5">
              <w:rPr>
                <w:rFonts w:cs="Calibri"/>
                <w:sz w:val="18"/>
                <w:szCs w:val="18"/>
              </w:rPr>
              <w:t xml:space="preserve">maksymalna - </w:t>
            </w:r>
            <w:r w:rsidR="00EC468E" w:rsidRPr="000D76C5">
              <w:rPr>
                <w:rFonts w:cs="Calibri"/>
                <w:sz w:val="18"/>
                <w:szCs w:val="18"/>
              </w:rPr>
              <w:t>1,2</w:t>
            </w:r>
          </w:p>
        </w:tc>
      </w:tr>
      <w:tr w:rsidR="003928F8" w:rsidRPr="0018326A" w14:paraId="4FA73554" w14:textId="77777777" w:rsidTr="00821D06">
        <w:trPr>
          <w:trHeight w:val="45"/>
          <w:tblCellSpacing w:w="0" w:type="auto"/>
        </w:trPr>
        <w:tc>
          <w:tcPr>
            <w:tcW w:w="3261" w:type="dxa"/>
            <w:vMerge/>
            <w:tcBorders>
              <w:top w:val="nil"/>
              <w:bottom w:val="single" w:sz="8" w:space="0" w:color="000000"/>
              <w:right w:val="single" w:sz="8" w:space="0" w:color="000000"/>
            </w:tcBorders>
          </w:tcPr>
          <w:p w14:paraId="40258966"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B14E771" w14:textId="77777777" w:rsidR="00E4262B" w:rsidRPr="0018326A" w:rsidRDefault="00E4262B" w:rsidP="00E4262B">
            <w:pPr>
              <w:spacing w:after="0"/>
              <w:rPr>
                <w:sz w:val="18"/>
                <w:szCs w:val="18"/>
              </w:rPr>
            </w:pPr>
            <w:r w:rsidRPr="0018326A">
              <w:rPr>
                <w:color w:val="000000"/>
                <w:sz w:val="18"/>
                <w:szCs w:val="18"/>
              </w:rPr>
              <w:t>Maksymalna i minimalna nadziemna intensywność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1D0EA076" w14:textId="77777777" w:rsidR="00EC468E" w:rsidRPr="000D76C5" w:rsidRDefault="00FA4805" w:rsidP="00EC468E">
            <w:pPr>
              <w:jc w:val="center"/>
              <w:rPr>
                <w:rFonts w:cs="Calibri"/>
                <w:sz w:val="18"/>
                <w:szCs w:val="18"/>
              </w:rPr>
            </w:pPr>
            <w:r w:rsidRPr="000D76C5">
              <w:rPr>
                <w:rFonts w:cs="Calibri"/>
                <w:sz w:val="18"/>
                <w:szCs w:val="18"/>
              </w:rPr>
              <w:t xml:space="preserve">minimalna </w:t>
            </w:r>
            <w:r w:rsidR="00EC468E" w:rsidRPr="000D76C5">
              <w:rPr>
                <w:rFonts w:cs="Calibri"/>
                <w:sz w:val="18"/>
                <w:szCs w:val="18"/>
              </w:rPr>
              <w:t>–</w:t>
            </w:r>
            <w:r w:rsidRPr="000D76C5">
              <w:rPr>
                <w:rFonts w:cs="Calibri"/>
                <w:sz w:val="18"/>
                <w:szCs w:val="18"/>
              </w:rPr>
              <w:t xml:space="preserve"> </w:t>
            </w:r>
            <w:r w:rsidR="00EC468E" w:rsidRPr="000D76C5">
              <w:rPr>
                <w:rFonts w:cs="Calibri"/>
                <w:sz w:val="18"/>
                <w:szCs w:val="18"/>
              </w:rPr>
              <w:t>nie ustala się,</w:t>
            </w:r>
            <w:r w:rsidRPr="000D76C5">
              <w:rPr>
                <w:rFonts w:cs="Calibri"/>
                <w:sz w:val="18"/>
                <w:szCs w:val="18"/>
              </w:rPr>
              <w:t xml:space="preserve"> </w:t>
            </w:r>
          </w:p>
          <w:p w14:paraId="6BFFCEA3" w14:textId="52302BD6" w:rsidR="00E4262B" w:rsidRPr="000D76C5" w:rsidRDefault="00FA4805" w:rsidP="00EC468E">
            <w:pPr>
              <w:jc w:val="center"/>
              <w:rPr>
                <w:rFonts w:cs="Calibri"/>
                <w:sz w:val="18"/>
                <w:szCs w:val="18"/>
              </w:rPr>
            </w:pPr>
            <w:r w:rsidRPr="000D76C5">
              <w:rPr>
                <w:rFonts w:cs="Calibri"/>
                <w:sz w:val="18"/>
                <w:szCs w:val="18"/>
              </w:rPr>
              <w:t xml:space="preserve">maksymalna - </w:t>
            </w:r>
            <w:r w:rsidR="00EC468E" w:rsidRPr="000D76C5">
              <w:rPr>
                <w:rFonts w:cs="Calibri"/>
                <w:sz w:val="18"/>
                <w:szCs w:val="18"/>
              </w:rPr>
              <w:t>1,2</w:t>
            </w:r>
          </w:p>
        </w:tc>
      </w:tr>
      <w:tr w:rsidR="003928F8" w:rsidRPr="0018326A" w14:paraId="44108CE3" w14:textId="77777777" w:rsidTr="00821D06">
        <w:trPr>
          <w:trHeight w:val="45"/>
          <w:tblCellSpacing w:w="0" w:type="auto"/>
        </w:trPr>
        <w:tc>
          <w:tcPr>
            <w:tcW w:w="3261" w:type="dxa"/>
            <w:vMerge/>
            <w:tcBorders>
              <w:top w:val="nil"/>
              <w:bottom w:val="single" w:sz="8" w:space="0" w:color="000000"/>
              <w:right w:val="single" w:sz="8" w:space="0" w:color="000000"/>
            </w:tcBorders>
          </w:tcPr>
          <w:p w14:paraId="5CB5C9EE"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5109750" w14:textId="77777777" w:rsidR="00E4262B" w:rsidRPr="0018326A" w:rsidRDefault="00E4262B" w:rsidP="00E4262B">
            <w:pPr>
              <w:spacing w:after="0"/>
              <w:rPr>
                <w:sz w:val="18"/>
                <w:szCs w:val="18"/>
              </w:rPr>
            </w:pPr>
            <w:r w:rsidRPr="0018326A">
              <w:rPr>
                <w:color w:val="000000"/>
                <w:sz w:val="18"/>
                <w:szCs w:val="18"/>
              </w:rPr>
              <w:t>Maksymalna powierzchnia zabudowy</w:t>
            </w:r>
          </w:p>
        </w:tc>
        <w:tc>
          <w:tcPr>
            <w:tcW w:w="4536" w:type="dxa"/>
            <w:tcBorders>
              <w:bottom w:val="single" w:sz="8" w:space="0" w:color="000000"/>
              <w:right w:val="single" w:sz="8" w:space="0" w:color="000000"/>
            </w:tcBorders>
            <w:tcMar>
              <w:top w:w="15" w:type="dxa"/>
              <w:left w:w="15" w:type="dxa"/>
              <w:bottom w:w="15" w:type="dxa"/>
              <w:right w:w="15" w:type="dxa"/>
            </w:tcMar>
          </w:tcPr>
          <w:p w14:paraId="2889A876" w14:textId="5B85FDF6" w:rsidR="00E4262B" w:rsidRPr="0018326A" w:rsidRDefault="00E2723C" w:rsidP="004B767D">
            <w:pPr>
              <w:jc w:val="center"/>
              <w:rPr>
                <w:sz w:val="18"/>
                <w:szCs w:val="18"/>
              </w:rPr>
            </w:pPr>
            <w:r w:rsidRPr="00CB31E5">
              <w:rPr>
                <w:sz w:val="18"/>
                <w:szCs w:val="18"/>
              </w:rPr>
              <w:t>nie ustalono</w:t>
            </w:r>
          </w:p>
        </w:tc>
      </w:tr>
      <w:tr w:rsidR="003928F8" w:rsidRPr="0018326A" w14:paraId="73285DA5" w14:textId="77777777" w:rsidTr="00821D06">
        <w:trPr>
          <w:trHeight w:val="590"/>
          <w:tblCellSpacing w:w="0" w:type="auto"/>
        </w:trPr>
        <w:tc>
          <w:tcPr>
            <w:tcW w:w="3261" w:type="dxa"/>
            <w:vMerge/>
            <w:tcBorders>
              <w:top w:val="nil"/>
              <w:bottom w:val="single" w:sz="8" w:space="0" w:color="000000"/>
              <w:right w:val="single" w:sz="8" w:space="0" w:color="000000"/>
            </w:tcBorders>
          </w:tcPr>
          <w:p w14:paraId="49F9A805"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9AFB391" w14:textId="77777777" w:rsidR="00E4262B" w:rsidRPr="0018326A" w:rsidRDefault="00E4262B" w:rsidP="00E4262B">
            <w:pPr>
              <w:spacing w:after="0"/>
              <w:rPr>
                <w:sz w:val="18"/>
                <w:szCs w:val="18"/>
              </w:rPr>
            </w:pPr>
            <w:r w:rsidRPr="0018326A">
              <w:rPr>
                <w:color w:val="000000"/>
                <w:sz w:val="18"/>
                <w:szCs w:val="18"/>
              </w:rPr>
              <w:t>Maksymalna wysokość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34887CCC" w14:textId="23CB8BE0" w:rsidR="00E4262B" w:rsidRPr="0018326A" w:rsidRDefault="00EC468E" w:rsidP="004B767D">
            <w:pPr>
              <w:jc w:val="center"/>
              <w:rPr>
                <w:sz w:val="18"/>
                <w:szCs w:val="18"/>
              </w:rPr>
            </w:pPr>
            <w:r w:rsidRPr="00EC468E">
              <w:rPr>
                <w:rFonts w:cs="Calibri"/>
                <w:sz w:val="18"/>
                <w:szCs w:val="18"/>
              </w:rPr>
              <w:t>dwie do trzech kondygnacji plus poddasze użytkowe</w:t>
            </w:r>
            <w:r w:rsidR="005A49FE">
              <w:rPr>
                <w:rFonts w:cs="Calibri"/>
                <w:sz w:val="18"/>
                <w:szCs w:val="18"/>
              </w:rPr>
              <w:t xml:space="preserve"> i maksimum 15m wysokości</w:t>
            </w:r>
          </w:p>
        </w:tc>
      </w:tr>
      <w:tr w:rsidR="003928F8" w:rsidRPr="0018326A" w14:paraId="04430055" w14:textId="77777777" w:rsidTr="00821D06">
        <w:trPr>
          <w:trHeight w:val="45"/>
          <w:tblCellSpacing w:w="0" w:type="auto"/>
        </w:trPr>
        <w:tc>
          <w:tcPr>
            <w:tcW w:w="3261" w:type="dxa"/>
            <w:vMerge/>
            <w:tcBorders>
              <w:top w:val="nil"/>
              <w:bottom w:val="single" w:sz="8" w:space="0" w:color="000000"/>
              <w:right w:val="single" w:sz="8" w:space="0" w:color="000000"/>
            </w:tcBorders>
          </w:tcPr>
          <w:p w14:paraId="6E9D8457"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BEAF21F" w14:textId="77777777" w:rsidR="00E4262B" w:rsidRPr="0018326A" w:rsidRDefault="00E4262B" w:rsidP="00E4262B">
            <w:pPr>
              <w:spacing w:after="0"/>
              <w:rPr>
                <w:sz w:val="18"/>
                <w:szCs w:val="18"/>
              </w:rPr>
            </w:pPr>
            <w:r w:rsidRPr="0018326A">
              <w:rPr>
                <w:color w:val="000000"/>
                <w:sz w:val="18"/>
                <w:szCs w:val="18"/>
              </w:rPr>
              <w:t>Minimalny udział procentowy powierzchni biologicznie czynnej</w:t>
            </w:r>
          </w:p>
        </w:tc>
        <w:tc>
          <w:tcPr>
            <w:tcW w:w="4536" w:type="dxa"/>
            <w:tcBorders>
              <w:bottom w:val="single" w:sz="8" w:space="0" w:color="000000"/>
              <w:right w:val="single" w:sz="8" w:space="0" w:color="000000"/>
            </w:tcBorders>
            <w:tcMar>
              <w:top w:w="15" w:type="dxa"/>
              <w:left w:w="15" w:type="dxa"/>
              <w:bottom w:w="15" w:type="dxa"/>
              <w:right w:w="15" w:type="dxa"/>
            </w:tcMar>
          </w:tcPr>
          <w:p w14:paraId="6F57541E" w14:textId="6801580C" w:rsidR="009C1C3D" w:rsidRPr="00E96F62" w:rsidRDefault="00E2723C" w:rsidP="00E2723C">
            <w:pPr>
              <w:jc w:val="center"/>
              <w:rPr>
                <w:sz w:val="18"/>
                <w:szCs w:val="18"/>
              </w:rPr>
            </w:pPr>
            <w:r w:rsidRPr="00CB31E5">
              <w:rPr>
                <w:sz w:val="18"/>
                <w:szCs w:val="18"/>
              </w:rPr>
              <w:t>nie ustalono</w:t>
            </w:r>
          </w:p>
        </w:tc>
      </w:tr>
      <w:tr w:rsidR="003928F8" w:rsidRPr="0018326A" w14:paraId="02E2CCAE" w14:textId="77777777" w:rsidTr="00821D06">
        <w:trPr>
          <w:trHeight w:val="45"/>
          <w:tblCellSpacing w:w="0" w:type="auto"/>
        </w:trPr>
        <w:tc>
          <w:tcPr>
            <w:tcW w:w="3261" w:type="dxa"/>
            <w:vMerge/>
            <w:tcBorders>
              <w:top w:val="nil"/>
              <w:bottom w:val="single" w:sz="8" w:space="0" w:color="000000"/>
              <w:right w:val="single" w:sz="8" w:space="0" w:color="000000"/>
            </w:tcBorders>
          </w:tcPr>
          <w:p w14:paraId="1970730E"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9FAA014" w14:textId="77777777" w:rsidR="00E4262B" w:rsidRPr="0018326A" w:rsidRDefault="00E4262B" w:rsidP="00E4262B">
            <w:pPr>
              <w:spacing w:after="0"/>
              <w:rPr>
                <w:sz w:val="18"/>
                <w:szCs w:val="18"/>
              </w:rPr>
            </w:pPr>
            <w:r w:rsidRPr="0018326A">
              <w:rPr>
                <w:color w:val="000000"/>
                <w:sz w:val="18"/>
                <w:szCs w:val="18"/>
              </w:rPr>
              <w:t>Minimalna liczba miejsc do parkowania</w:t>
            </w:r>
          </w:p>
        </w:tc>
        <w:tc>
          <w:tcPr>
            <w:tcW w:w="4536" w:type="dxa"/>
            <w:tcBorders>
              <w:bottom w:val="single" w:sz="8" w:space="0" w:color="000000"/>
              <w:right w:val="single" w:sz="8" w:space="0" w:color="000000"/>
            </w:tcBorders>
            <w:tcMar>
              <w:top w:w="15" w:type="dxa"/>
              <w:left w:w="15" w:type="dxa"/>
              <w:bottom w:w="15" w:type="dxa"/>
              <w:right w:w="15" w:type="dxa"/>
            </w:tcMar>
          </w:tcPr>
          <w:p w14:paraId="23CB1C01" w14:textId="77777777" w:rsidR="005A49FE" w:rsidRDefault="005A49FE" w:rsidP="00E2723C">
            <w:pPr>
              <w:rPr>
                <w:sz w:val="18"/>
                <w:szCs w:val="18"/>
              </w:rPr>
            </w:pPr>
            <w:r>
              <w:rPr>
                <w:sz w:val="18"/>
                <w:szCs w:val="18"/>
              </w:rPr>
              <w:t>min. 1,5 miejsca postojowego na 1 mieszkanie,</w:t>
            </w:r>
          </w:p>
          <w:p w14:paraId="6EDBD762" w14:textId="01BB02E7" w:rsidR="005A49FE" w:rsidRPr="005A49FE" w:rsidRDefault="005A49FE" w:rsidP="004611A7">
            <w:pPr>
              <w:rPr>
                <w:sz w:val="18"/>
                <w:szCs w:val="18"/>
              </w:rPr>
            </w:pPr>
            <w:r>
              <w:rPr>
                <w:sz w:val="18"/>
                <w:szCs w:val="18"/>
              </w:rPr>
              <w:t>dla usług: 1 miejsce na 3 zatrudnionych plus 1 miejsce na 100 m</w:t>
            </w:r>
            <w:r>
              <w:rPr>
                <w:sz w:val="18"/>
                <w:szCs w:val="18"/>
                <w:vertAlign w:val="superscript"/>
              </w:rPr>
              <w:t>2</w:t>
            </w:r>
            <w:r>
              <w:rPr>
                <w:sz w:val="18"/>
                <w:szCs w:val="18"/>
              </w:rPr>
              <w:t xml:space="preserve"> PU</w:t>
            </w:r>
          </w:p>
        </w:tc>
      </w:tr>
      <w:tr w:rsidR="003928F8" w:rsidRPr="0018326A" w14:paraId="74FC4365" w14:textId="77777777" w:rsidTr="00821D06">
        <w:trPr>
          <w:trHeight w:val="45"/>
          <w:tblCellSpacing w:w="0" w:type="auto"/>
        </w:trPr>
        <w:tc>
          <w:tcPr>
            <w:tcW w:w="3261" w:type="dxa"/>
            <w:vMerge/>
            <w:tcBorders>
              <w:top w:val="nil"/>
              <w:bottom w:val="single" w:sz="8" w:space="0" w:color="000000"/>
              <w:right w:val="single" w:sz="8" w:space="0" w:color="000000"/>
            </w:tcBorders>
          </w:tcPr>
          <w:p w14:paraId="51D2EF46"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43235E3" w14:textId="77777777" w:rsidR="00E4262B" w:rsidRPr="00FD1F12" w:rsidRDefault="00E4262B" w:rsidP="00E4262B">
            <w:pPr>
              <w:spacing w:after="0"/>
              <w:rPr>
                <w:sz w:val="18"/>
                <w:szCs w:val="18"/>
              </w:rPr>
            </w:pPr>
            <w:r w:rsidRPr="00FD1F12">
              <w:rPr>
                <w:color w:val="000000"/>
                <w:sz w:val="18"/>
                <w:szCs w:val="18"/>
              </w:rPr>
              <w:t>Warunki ochrony środowiska i zdrowia ludzi, przyrody i krajobrazu</w:t>
            </w:r>
          </w:p>
        </w:tc>
        <w:tc>
          <w:tcPr>
            <w:tcW w:w="4536" w:type="dxa"/>
            <w:tcBorders>
              <w:bottom w:val="single" w:sz="8" w:space="0" w:color="000000"/>
              <w:right w:val="single" w:sz="8" w:space="0" w:color="000000"/>
            </w:tcBorders>
            <w:tcMar>
              <w:top w:w="15" w:type="dxa"/>
              <w:left w:w="15" w:type="dxa"/>
              <w:bottom w:w="15" w:type="dxa"/>
              <w:right w:w="15" w:type="dxa"/>
            </w:tcMar>
          </w:tcPr>
          <w:p w14:paraId="354A0DB2" w14:textId="0267669E" w:rsidR="00347340" w:rsidRPr="001B5C15" w:rsidRDefault="006973A8" w:rsidP="006973A8">
            <w:pPr>
              <w:rPr>
                <w:sz w:val="18"/>
                <w:szCs w:val="18"/>
              </w:rPr>
            </w:pPr>
            <w:r>
              <w:rPr>
                <w:sz w:val="18"/>
                <w:szCs w:val="18"/>
              </w:rPr>
              <w:t>cały obszar znajduje się w obrębie Głównych Zbiorników Wód Podziemnych nr 111 „</w:t>
            </w:r>
            <w:proofErr w:type="spellStart"/>
            <w:r>
              <w:rPr>
                <w:sz w:val="18"/>
                <w:szCs w:val="18"/>
              </w:rPr>
              <w:t>Subniecka</w:t>
            </w:r>
            <w:proofErr w:type="spellEnd"/>
            <w:r>
              <w:rPr>
                <w:sz w:val="18"/>
                <w:szCs w:val="18"/>
              </w:rPr>
              <w:t xml:space="preserve"> Gdańska” i nr 112B „Żuławy Gdańskie”. Szczegółowe zasady ochrony zbiorników określi Dyrektor Regionalnego Zarządu </w:t>
            </w:r>
            <w:r w:rsidR="003E5189">
              <w:rPr>
                <w:sz w:val="18"/>
                <w:szCs w:val="18"/>
              </w:rPr>
              <w:t xml:space="preserve">w drodze rozporządzenia. Do czasu określenia zasad wszelkie zamierzenia mogące stanowić zagrożenie dla czystości gruntu i wód wymagają uzgodnień Regionalnego Zarządu Gospodarki Wodnej. </w:t>
            </w:r>
          </w:p>
        </w:tc>
      </w:tr>
      <w:tr w:rsidR="003928F8" w:rsidRPr="0018326A" w14:paraId="1DA9A0FC" w14:textId="77777777" w:rsidTr="00821D06">
        <w:trPr>
          <w:trHeight w:val="45"/>
          <w:tblCellSpacing w:w="0" w:type="auto"/>
        </w:trPr>
        <w:tc>
          <w:tcPr>
            <w:tcW w:w="3261" w:type="dxa"/>
            <w:vMerge/>
            <w:tcBorders>
              <w:top w:val="nil"/>
              <w:bottom w:val="single" w:sz="8" w:space="0" w:color="000000"/>
              <w:right w:val="single" w:sz="8" w:space="0" w:color="000000"/>
            </w:tcBorders>
          </w:tcPr>
          <w:p w14:paraId="0CB282D0" w14:textId="77777777" w:rsidR="00E4262B" w:rsidRPr="0018326A" w:rsidRDefault="00E4262B" w:rsidP="00E4262B">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75128A0" w14:textId="77777777" w:rsidR="00E4262B" w:rsidRPr="0018326A" w:rsidRDefault="00E4262B" w:rsidP="00E4262B">
            <w:pPr>
              <w:spacing w:after="0"/>
              <w:rPr>
                <w:sz w:val="18"/>
                <w:szCs w:val="18"/>
              </w:rPr>
            </w:pPr>
            <w:r w:rsidRPr="0018326A">
              <w:rPr>
                <w:color w:val="000000"/>
                <w:sz w:val="18"/>
                <w:szCs w:val="18"/>
              </w:rPr>
              <w:t>Wymagania dotyczące zabudowy i zagospodarowania terenu położonego na obszarach szczególnego zagrożenia powodzią</w:t>
            </w:r>
          </w:p>
        </w:tc>
        <w:tc>
          <w:tcPr>
            <w:tcW w:w="4536" w:type="dxa"/>
            <w:tcBorders>
              <w:bottom w:val="single" w:sz="8" w:space="0" w:color="000000"/>
              <w:right w:val="single" w:sz="8" w:space="0" w:color="000000"/>
            </w:tcBorders>
            <w:tcMar>
              <w:top w:w="15" w:type="dxa"/>
              <w:left w:w="15" w:type="dxa"/>
              <w:bottom w:w="15" w:type="dxa"/>
              <w:right w:w="15" w:type="dxa"/>
            </w:tcMar>
          </w:tcPr>
          <w:p w14:paraId="3F904B68" w14:textId="439C1020" w:rsidR="00E4262B" w:rsidRPr="0018326A" w:rsidRDefault="00E4262B" w:rsidP="004B767D">
            <w:pPr>
              <w:jc w:val="center"/>
              <w:rPr>
                <w:sz w:val="18"/>
                <w:szCs w:val="18"/>
              </w:rPr>
            </w:pPr>
            <w:r w:rsidRPr="0018326A">
              <w:rPr>
                <w:rFonts w:cs="Calibri"/>
                <w:sz w:val="18"/>
                <w:szCs w:val="18"/>
              </w:rPr>
              <w:t>Nie dotyczy</w:t>
            </w:r>
          </w:p>
        </w:tc>
      </w:tr>
      <w:tr w:rsidR="00821D06" w:rsidRPr="0018326A" w14:paraId="7224BA59" w14:textId="77777777" w:rsidTr="00F25F52">
        <w:trPr>
          <w:trHeight w:val="2532"/>
          <w:tblCellSpacing w:w="0" w:type="auto"/>
        </w:trPr>
        <w:tc>
          <w:tcPr>
            <w:tcW w:w="3261" w:type="dxa"/>
            <w:vMerge/>
            <w:tcBorders>
              <w:top w:val="nil"/>
              <w:bottom w:val="single" w:sz="8" w:space="0" w:color="000000"/>
              <w:right w:val="single" w:sz="8" w:space="0" w:color="000000"/>
            </w:tcBorders>
          </w:tcPr>
          <w:p w14:paraId="0F91B2F9"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38BC29C" w14:textId="77777777" w:rsidR="00821D06" w:rsidRPr="0018326A" w:rsidRDefault="00821D06" w:rsidP="00821D06">
            <w:pPr>
              <w:spacing w:after="0"/>
              <w:rPr>
                <w:sz w:val="18"/>
                <w:szCs w:val="18"/>
              </w:rPr>
            </w:pPr>
            <w:r w:rsidRPr="0018326A">
              <w:rPr>
                <w:color w:val="000000"/>
                <w:sz w:val="18"/>
                <w:szCs w:val="18"/>
              </w:rPr>
              <w:t>Warunki ochrony dziedzictwa kulturowego i zabytków oraz dóbr kultury współczesnej</w:t>
            </w:r>
          </w:p>
        </w:tc>
        <w:tc>
          <w:tcPr>
            <w:tcW w:w="4536" w:type="dxa"/>
            <w:tcBorders>
              <w:bottom w:val="single" w:sz="8" w:space="0" w:color="000000"/>
              <w:right w:val="single" w:sz="8" w:space="0" w:color="000000"/>
            </w:tcBorders>
            <w:tcMar>
              <w:top w:w="15" w:type="dxa"/>
              <w:left w:w="15" w:type="dxa"/>
              <w:bottom w:w="15" w:type="dxa"/>
              <w:right w:w="15" w:type="dxa"/>
            </w:tcMar>
          </w:tcPr>
          <w:p w14:paraId="016F8F22" w14:textId="46579953" w:rsidR="00821D06" w:rsidRDefault="00C548CC" w:rsidP="00F25F52">
            <w:pPr>
              <w:rPr>
                <w:sz w:val="18"/>
                <w:szCs w:val="18"/>
              </w:rPr>
            </w:pPr>
            <w:r>
              <w:rPr>
                <w:sz w:val="18"/>
                <w:szCs w:val="18"/>
              </w:rPr>
              <w:t>Część terenu objęty przedsięwzięciem deweloperskim znajduje się w</w:t>
            </w:r>
            <w:r w:rsidR="00821D06">
              <w:rPr>
                <w:sz w:val="18"/>
                <w:szCs w:val="18"/>
              </w:rPr>
              <w:t xml:space="preserve"> stref</w:t>
            </w:r>
            <w:r>
              <w:rPr>
                <w:sz w:val="18"/>
                <w:szCs w:val="18"/>
              </w:rPr>
              <w:t>ie</w:t>
            </w:r>
            <w:r w:rsidR="00821D06">
              <w:rPr>
                <w:sz w:val="18"/>
                <w:szCs w:val="18"/>
              </w:rPr>
              <w:t xml:space="preserve"> ochrony konserwatorskiej stanowisk archeologicznych ujętych w ewidencji zabytków.</w:t>
            </w:r>
          </w:p>
          <w:p w14:paraId="03B5D7CE" w14:textId="5BFC1015" w:rsidR="00821D06" w:rsidRPr="00C548CC" w:rsidRDefault="00821D06" w:rsidP="00F25F52">
            <w:pPr>
              <w:rPr>
                <w:sz w:val="18"/>
                <w:szCs w:val="18"/>
              </w:rPr>
            </w:pPr>
            <w:r>
              <w:rPr>
                <w:sz w:val="18"/>
                <w:szCs w:val="18"/>
              </w:rPr>
              <w:t>W obrębie stref ochrony konserwatorskiej stanowisk archeologicznych obowiązują następujące zasady: roboty ziemne lub zmiana charakteru dotychczasowej działalności, mogące doprowadzić do przekształcenia lub zniszczenia zabytków archeologicznych wymagają przeprowadzenia badań archeologicznych na zasadach określonych przepisami odrębnymi.</w:t>
            </w:r>
          </w:p>
        </w:tc>
      </w:tr>
      <w:tr w:rsidR="00821D06" w:rsidRPr="0018326A" w14:paraId="65535F37" w14:textId="77777777" w:rsidTr="00821D06">
        <w:trPr>
          <w:trHeight w:val="45"/>
          <w:tblCellSpacing w:w="0" w:type="auto"/>
        </w:trPr>
        <w:tc>
          <w:tcPr>
            <w:tcW w:w="3261" w:type="dxa"/>
            <w:vMerge/>
            <w:tcBorders>
              <w:top w:val="nil"/>
              <w:bottom w:val="single" w:sz="8" w:space="0" w:color="000000"/>
              <w:right w:val="single" w:sz="8" w:space="0" w:color="000000"/>
            </w:tcBorders>
          </w:tcPr>
          <w:p w14:paraId="060DD13C"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B20A9A9" w14:textId="77777777" w:rsidR="00821D06" w:rsidRPr="0018326A" w:rsidRDefault="00821D06" w:rsidP="00821D06">
            <w:pPr>
              <w:spacing w:after="0"/>
              <w:rPr>
                <w:sz w:val="18"/>
                <w:szCs w:val="18"/>
              </w:rPr>
            </w:pPr>
            <w:r w:rsidRPr="0018326A">
              <w:rPr>
                <w:color w:val="000000"/>
                <w:sz w:val="18"/>
                <w:szCs w:val="18"/>
              </w:rPr>
              <w:t>Wymagania dotyczące ochrony innych terenów lub obiektów podlegających ochronie na podstawie przepisów odrębnych</w:t>
            </w:r>
          </w:p>
        </w:tc>
        <w:tc>
          <w:tcPr>
            <w:tcW w:w="4536" w:type="dxa"/>
            <w:tcBorders>
              <w:bottom w:val="single" w:sz="8" w:space="0" w:color="000000"/>
              <w:right w:val="single" w:sz="8" w:space="0" w:color="000000"/>
            </w:tcBorders>
            <w:tcMar>
              <w:top w:w="15" w:type="dxa"/>
              <w:left w:w="15" w:type="dxa"/>
              <w:bottom w:w="15" w:type="dxa"/>
              <w:right w:w="15" w:type="dxa"/>
            </w:tcMar>
          </w:tcPr>
          <w:p w14:paraId="0F19A173" w14:textId="2DCDABBB" w:rsidR="00821D06" w:rsidRPr="0018326A" w:rsidRDefault="00326B9E" w:rsidP="00821D06">
            <w:pPr>
              <w:jc w:val="center"/>
              <w:rPr>
                <w:sz w:val="18"/>
                <w:szCs w:val="18"/>
              </w:rPr>
            </w:pPr>
            <w:r>
              <w:rPr>
                <w:sz w:val="18"/>
                <w:szCs w:val="18"/>
              </w:rPr>
              <w:t>Nie dotyczy</w:t>
            </w:r>
          </w:p>
        </w:tc>
      </w:tr>
      <w:tr w:rsidR="00821D06" w:rsidRPr="0018326A" w14:paraId="294B7490" w14:textId="77777777" w:rsidTr="00821D06">
        <w:trPr>
          <w:trHeight w:val="45"/>
          <w:tblCellSpacing w:w="0" w:type="auto"/>
        </w:trPr>
        <w:tc>
          <w:tcPr>
            <w:tcW w:w="3261" w:type="dxa"/>
            <w:vMerge/>
            <w:tcBorders>
              <w:top w:val="nil"/>
              <w:bottom w:val="single" w:sz="8" w:space="0" w:color="000000"/>
              <w:right w:val="single" w:sz="8" w:space="0" w:color="000000"/>
            </w:tcBorders>
          </w:tcPr>
          <w:p w14:paraId="4A78A1CA"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0E38FF0" w14:textId="77777777" w:rsidR="00821D06" w:rsidRPr="0018326A" w:rsidRDefault="00821D06" w:rsidP="00821D06">
            <w:pPr>
              <w:spacing w:after="0"/>
              <w:rPr>
                <w:sz w:val="18"/>
                <w:szCs w:val="18"/>
              </w:rPr>
            </w:pPr>
            <w:r w:rsidRPr="0018326A">
              <w:rPr>
                <w:color w:val="000000"/>
                <w:sz w:val="18"/>
                <w:szCs w:val="18"/>
              </w:rPr>
              <w:t>Warunki i szczegółowe zasady obsługi w zakresie komunikacji</w:t>
            </w:r>
          </w:p>
        </w:tc>
        <w:tc>
          <w:tcPr>
            <w:tcW w:w="4536" w:type="dxa"/>
            <w:tcBorders>
              <w:bottom w:val="single" w:sz="8" w:space="0" w:color="000000"/>
              <w:right w:val="single" w:sz="8" w:space="0" w:color="000000"/>
            </w:tcBorders>
            <w:tcMar>
              <w:top w:w="15" w:type="dxa"/>
              <w:left w:w="15" w:type="dxa"/>
              <w:bottom w:w="15" w:type="dxa"/>
              <w:right w:w="15" w:type="dxa"/>
            </w:tcMar>
          </w:tcPr>
          <w:p w14:paraId="05159D98" w14:textId="7BB099E0" w:rsidR="00821D06" w:rsidRPr="0018326A" w:rsidRDefault="00EA27D2" w:rsidP="00821D06">
            <w:pPr>
              <w:jc w:val="center"/>
              <w:rPr>
                <w:sz w:val="18"/>
                <w:szCs w:val="18"/>
              </w:rPr>
            </w:pPr>
            <w:r>
              <w:rPr>
                <w:sz w:val="18"/>
                <w:szCs w:val="18"/>
              </w:rPr>
              <w:t>obsługa komunikacyjna terenu z terenu drogi KD</w:t>
            </w:r>
          </w:p>
        </w:tc>
      </w:tr>
      <w:tr w:rsidR="00821D06" w:rsidRPr="0018326A" w14:paraId="7D4D807A" w14:textId="77777777" w:rsidTr="00821D06">
        <w:trPr>
          <w:trHeight w:val="45"/>
          <w:tblCellSpacing w:w="0" w:type="auto"/>
        </w:trPr>
        <w:tc>
          <w:tcPr>
            <w:tcW w:w="3261" w:type="dxa"/>
            <w:vMerge/>
            <w:tcBorders>
              <w:top w:val="nil"/>
              <w:bottom w:val="single" w:sz="8" w:space="0" w:color="000000"/>
              <w:right w:val="single" w:sz="8" w:space="0" w:color="000000"/>
            </w:tcBorders>
          </w:tcPr>
          <w:p w14:paraId="4EC36F76"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A97CFB8" w14:textId="77777777" w:rsidR="00821D06" w:rsidRPr="0018326A" w:rsidRDefault="00821D06" w:rsidP="00821D06">
            <w:pPr>
              <w:spacing w:after="0"/>
              <w:rPr>
                <w:sz w:val="18"/>
                <w:szCs w:val="18"/>
              </w:rPr>
            </w:pPr>
            <w:r w:rsidRPr="0018326A">
              <w:rPr>
                <w:color w:val="000000"/>
                <w:sz w:val="18"/>
                <w:szCs w:val="18"/>
              </w:rPr>
              <w:t>Warunki i szczegółowe zasady obsługi w zakresie infrastruktury technicznej</w:t>
            </w:r>
          </w:p>
        </w:tc>
        <w:tc>
          <w:tcPr>
            <w:tcW w:w="4536" w:type="dxa"/>
            <w:tcBorders>
              <w:bottom w:val="single" w:sz="8" w:space="0" w:color="000000"/>
              <w:right w:val="single" w:sz="8" w:space="0" w:color="000000"/>
            </w:tcBorders>
            <w:tcMar>
              <w:top w:w="15" w:type="dxa"/>
              <w:left w:w="15" w:type="dxa"/>
              <w:bottom w:w="15" w:type="dxa"/>
              <w:right w:w="15" w:type="dxa"/>
            </w:tcMar>
          </w:tcPr>
          <w:p w14:paraId="3319FE95" w14:textId="77777777" w:rsidR="00A30FA1" w:rsidRDefault="0097223E" w:rsidP="00821D06">
            <w:pPr>
              <w:rPr>
                <w:sz w:val="18"/>
                <w:szCs w:val="18"/>
              </w:rPr>
            </w:pPr>
            <w:r>
              <w:rPr>
                <w:sz w:val="18"/>
                <w:szCs w:val="18"/>
              </w:rPr>
              <w:t xml:space="preserve">Wójt inicjuje działania na rzecz skoordynowanego rozwoju wszystkich elementów infrastruktury technicznej. Podstawą działań powinny być zaktualizowane i uszczegółowione opracowania branżowe, dostosowane do projektowanego rozwoju. Opracowania należy wykonać z uwzględnieniem kierunków rozwoju infrastruktury technicznej określonych, z uwzględnieniem przepisów szczególnych. Rozwój poszczególnych sieci infrastruktury technicznej winien być podporządkowany zasadzie rozwoju zrównoważonego. Opracowania podlegają akceptacji przez Wójta po uzyskaniu niezbędnych uzgodnień wynikających z przepisów szczególnych i stwierdzeniu zgodności rozwiązań z uchwałą miejscowego planu zagospodarowania przestrzennego. </w:t>
            </w:r>
            <w:r w:rsidR="00A30FA1">
              <w:rPr>
                <w:sz w:val="18"/>
                <w:szCs w:val="18"/>
              </w:rPr>
              <w:t xml:space="preserve">Podstawą oddania poszczególnych obiektów do eksploatacji musi być pełne zabezpieczenie gruntu, wody i powietrza przed nienormatywnymi zanieczyszczeniami. </w:t>
            </w:r>
          </w:p>
          <w:p w14:paraId="131D4C0C" w14:textId="77777777" w:rsidR="00821D06" w:rsidRDefault="00A30FA1" w:rsidP="00821D06">
            <w:pPr>
              <w:rPr>
                <w:sz w:val="18"/>
                <w:szCs w:val="18"/>
              </w:rPr>
            </w:pPr>
            <w:r>
              <w:rPr>
                <w:sz w:val="18"/>
                <w:szCs w:val="18"/>
              </w:rPr>
              <w:t xml:space="preserve">Dopuszcza się realizację czasowych indywidualnych urządzeń unieszkodliwiania ścieków dla zabudowy rozproszonej poza zwartym obszarem wsi oraz czasowo dla pojedynczych budynków jednorodzinnych i drobnych usług. Te ustalenia obowiązują, jeżeli jest brak możliwości podłączenia nieruchomości do sieci publicznej i jeżeli urządzenia indywidualne gwarantować będą pełną ochronę ziemi oraz wód powierzchniowych i gruntowych. </w:t>
            </w:r>
          </w:p>
          <w:p w14:paraId="2A8E8619" w14:textId="77777777" w:rsidR="00A30FA1" w:rsidRDefault="00A30FA1" w:rsidP="00821D06">
            <w:pPr>
              <w:rPr>
                <w:sz w:val="18"/>
                <w:szCs w:val="18"/>
              </w:rPr>
            </w:pPr>
            <w:r>
              <w:rPr>
                <w:sz w:val="18"/>
                <w:szCs w:val="18"/>
              </w:rPr>
              <w:t>Ustalony został korytarz techniczny o symbolu TW, K, G</w:t>
            </w:r>
            <w:r w:rsidR="0051567A">
              <w:rPr>
                <w:sz w:val="18"/>
                <w:szCs w:val="18"/>
              </w:rPr>
              <w:t xml:space="preserve"> szerokości 12m dla magistralnych sieci wodociągowych, kanalizacyjnych i gazowych. Korytarz łączy się z korytarzem części nizinnej gminy Pruszcz Gdański.</w:t>
            </w:r>
          </w:p>
          <w:p w14:paraId="0E7E872C" w14:textId="77777777" w:rsidR="0051567A" w:rsidRDefault="0051567A" w:rsidP="00821D06">
            <w:pPr>
              <w:rPr>
                <w:sz w:val="18"/>
                <w:szCs w:val="18"/>
              </w:rPr>
            </w:pPr>
            <w:r>
              <w:rPr>
                <w:sz w:val="18"/>
                <w:szCs w:val="18"/>
              </w:rPr>
              <w:t xml:space="preserve">Sieci rozdzielcze należy projektować tworząc lokalne korytarze infrastruktury technicznej równolegle do pasów drogowych i kanałów systemu melioracyjnego oraz </w:t>
            </w:r>
            <w:r>
              <w:rPr>
                <w:sz w:val="18"/>
                <w:szCs w:val="18"/>
              </w:rPr>
              <w:lastRenderedPageBreak/>
              <w:t>wykorzystując ciągi zieleni izolacyjnej i naturalnej lub w pasie drogowym za zgodą zarządcy drogi.</w:t>
            </w:r>
          </w:p>
          <w:p w14:paraId="56DDC887" w14:textId="77777777" w:rsidR="0051567A" w:rsidRDefault="0051567A" w:rsidP="00821D06">
            <w:pPr>
              <w:rPr>
                <w:sz w:val="18"/>
                <w:szCs w:val="18"/>
              </w:rPr>
            </w:pPr>
            <w:r>
              <w:rPr>
                <w:sz w:val="18"/>
                <w:szCs w:val="18"/>
              </w:rPr>
              <w:t xml:space="preserve">Ustalono zakaz prowadzenia sieci, zarówno podziemnych jak i napowietrznych przez tereny ukośne. </w:t>
            </w:r>
          </w:p>
          <w:p w14:paraId="08681F52" w14:textId="77777777" w:rsidR="0051567A" w:rsidRDefault="0051567A" w:rsidP="00821D06">
            <w:pPr>
              <w:rPr>
                <w:sz w:val="18"/>
                <w:szCs w:val="18"/>
              </w:rPr>
            </w:pPr>
            <w:r>
              <w:rPr>
                <w:sz w:val="18"/>
                <w:szCs w:val="18"/>
              </w:rPr>
              <w:t xml:space="preserve">Podstawą zaopatrzenia w wodę Borkowa, Straszyna i Rotmanki jest gdański system wodociągowy oraz ujęcie w </w:t>
            </w:r>
            <w:proofErr w:type="spellStart"/>
            <w:r>
              <w:rPr>
                <w:sz w:val="18"/>
                <w:szCs w:val="18"/>
              </w:rPr>
              <w:t>Rotmance</w:t>
            </w:r>
            <w:proofErr w:type="spellEnd"/>
            <w:r>
              <w:rPr>
                <w:sz w:val="18"/>
                <w:szCs w:val="18"/>
              </w:rPr>
              <w:t>. Dopuszcza się realizację nowych ujęć, jeżeli nie stanowi to naruszenia funkcji podstawowej terenu, o ile nie jest to sprzeczne z przepisami szczególnymi.</w:t>
            </w:r>
          </w:p>
          <w:p w14:paraId="41491DBA" w14:textId="77777777" w:rsidR="0051567A" w:rsidRDefault="0051567A" w:rsidP="00821D06">
            <w:pPr>
              <w:rPr>
                <w:sz w:val="18"/>
                <w:szCs w:val="18"/>
              </w:rPr>
            </w:pPr>
            <w:r>
              <w:rPr>
                <w:sz w:val="18"/>
                <w:szCs w:val="18"/>
              </w:rPr>
              <w:t>Odbiornikiem ścieków będzie oczyszczalnia Gdańsk Wschód, poprzez system kolektorów istniejących lub nowy kolektor dla terenów rozwojowych. W obszarze planu należy zlikwidować wszystkie odpływy ścieków sanitarnych do wód powierzchniowych lub do gruntu. Wszystkie przepompownie i ewentualne podczyszczalnie należy wyposażyć w zbiorniki awaryjne, eliminując możliwość zanieczyszczenia wód powierzchniowych lub gruntu. Adaptowana została istniejąca główna przepompownia ścieków w Straszynie</w:t>
            </w:r>
            <w:r w:rsidR="00F833BE">
              <w:rPr>
                <w:sz w:val="18"/>
                <w:szCs w:val="18"/>
              </w:rPr>
              <w:t>. Dla zabudowy rozproszonej poza zwartym obszarem wsi oraz czasowo dla pojedynczych budynków jednorodzinnych i drobnych usług w obrębie zwartej zabudowy wsi dopuszcza się realizację indywidualnych urządzeń sanitarnych.</w:t>
            </w:r>
          </w:p>
          <w:p w14:paraId="4D1929CD" w14:textId="77777777" w:rsidR="00F833BE" w:rsidRDefault="00F833BE" w:rsidP="00821D06">
            <w:pPr>
              <w:rPr>
                <w:sz w:val="18"/>
                <w:szCs w:val="18"/>
              </w:rPr>
            </w:pPr>
            <w:r>
              <w:rPr>
                <w:sz w:val="18"/>
                <w:szCs w:val="18"/>
              </w:rPr>
              <w:t>Zasady odprowadzenia wód deszczowych – zakaz realizacji wszelkich zespołów zabudowy oraz składów przed wykonaniem systemu prawidłowego odprowadzenia wód deszczowych, które nie będzie stanowił zagrożenia dla terenów niżej położonych</w:t>
            </w:r>
            <w:r w:rsidR="00EA27D2">
              <w:rPr>
                <w:sz w:val="18"/>
                <w:szCs w:val="18"/>
              </w:rPr>
              <w:t xml:space="preserve">. </w:t>
            </w:r>
          </w:p>
          <w:p w14:paraId="6B93AB03" w14:textId="77777777" w:rsidR="00EA27D2" w:rsidRDefault="00EA27D2" w:rsidP="00821D06">
            <w:pPr>
              <w:rPr>
                <w:sz w:val="18"/>
                <w:szCs w:val="18"/>
              </w:rPr>
            </w:pPr>
            <w:r>
              <w:rPr>
                <w:sz w:val="18"/>
                <w:szCs w:val="18"/>
              </w:rPr>
              <w:t xml:space="preserve">System elektroenergetyczny działa w oparciu o główne punkty zasilania położone poza obszarem planu oraz projektowane GPZ Cieplewo i </w:t>
            </w:r>
            <w:proofErr w:type="spellStart"/>
            <w:r>
              <w:rPr>
                <w:sz w:val="18"/>
                <w:szCs w:val="18"/>
              </w:rPr>
              <w:t>Rotmanka</w:t>
            </w:r>
            <w:proofErr w:type="spellEnd"/>
            <w:r>
              <w:rPr>
                <w:sz w:val="18"/>
                <w:szCs w:val="18"/>
              </w:rPr>
              <w:t>.</w:t>
            </w:r>
          </w:p>
          <w:p w14:paraId="59A16E17" w14:textId="77777777" w:rsidR="00087F62" w:rsidRDefault="00087F62" w:rsidP="00821D06">
            <w:pPr>
              <w:rPr>
                <w:sz w:val="18"/>
                <w:szCs w:val="18"/>
              </w:rPr>
            </w:pPr>
            <w:r>
              <w:rPr>
                <w:sz w:val="18"/>
                <w:szCs w:val="18"/>
              </w:rPr>
              <w:t>Zaopatrzenie w gaz ziemny - miejscowości w obszarze planu przeznacza się do objęcia systemem sieciowego zaopatrzenia w gaz ziemny.</w:t>
            </w:r>
          </w:p>
          <w:p w14:paraId="09397B79" w14:textId="04AA3BBC" w:rsidR="000C2A34" w:rsidRDefault="000C2A34" w:rsidP="00821D06">
            <w:pPr>
              <w:rPr>
                <w:sz w:val="18"/>
                <w:szCs w:val="18"/>
              </w:rPr>
            </w:pPr>
            <w:r>
              <w:rPr>
                <w:sz w:val="18"/>
                <w:szCs w:val="18"/>
              </w:rPr>
              <w:t xml:space="preserve">Zasady zaopatrzenia w ciepło – podstawowym sposobem zaopatrzenia w energię cieplną będą źródła indywidualne. Ustalony został zakaz utrzymania i realizacji </w:t>
            </w:r>
            <w:r w:rsidR="00394136">
              <w:rPr>
                <w:sz w:val="18"/>
                <w:szCs w:val="18"/>
              </w:rPr>
              <w:t>nie ekologicznych</w:t>
            </w:r>
            <w:r>
              <w:rPr>
                <w:sz w:val="18"/>
                <w:szCs w:val="18"/>
              </w:rPr>
              <w:t xml:space="preserve"> źródeł ciepła. </w:t>
            </w:r>
          </w:p>
          <w:p w14:paraId="44D0D402" w14:textId="77777777" w:rsidR="000C2A34" w:rsidRDefault="000C2A34" w:rsidP="00821D06">
            <w:pPr>
              <w:rPr>
                <w:sz w:val="18"/>
                <w:szCs w:val="18"/>
              </w:rPr>
            </w:pPr>
            <w:r>
              <w:rPr>
                <w:sz w:val="18"/>
                <w:szCs w:val="18"/>
              </w:rPr>
              <w:t xml:space="preserve">Zasady funkcjonowania telekomunikacji – obsługa telekomunikacyjna oparta będzie o wielość operatorów telefonii sieciowej i komórkowej. Wszystkie sieci telefonii lokalnej i międzymiastowej, konwencjonalne i światłowodowe podlegają ochronie. </w:t>
            </w:r>
          </w:p>
          <w:p w14:paraId="6D08951E" w14:textId="4DE2F4F1" w:rsidR="000C2A34" w:rsidRPr="0018326A" w:rsidRDefault="000C2A34" w:rsidP="00821D06">
            <w:pPr>
              <w:rPr>
                <w:sz w:val="18"/>
                <w:szCs w:val="18"/>
              </w:rPr>
            </w:pPr>
            <w:r>
              <w:rPr>
                <w:sz w:val="18"/>
                <w:szCs w:val="18"/>
              </w:rPr>
              <w:t xml:space="preserve">Zasady gospodarki odpadami stałymi – obowiązywać będzie system segregacji odpadów. </w:t>
            </w:r>
          </w:p>
        </w:tc>
      </w:tr>
      <w:tr w:rsidR="00821D06" w:rsidRPr="0018326A" w14:paraId="2CCE2E4E" w14:textId="77777777" w:rsidTr="00F25F52">
        <w:trPr>
          <w:trHeight w:val="973"/>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2146CDC5" w14:textId="77777777" w:rsidR="00821D06" w:rsidRPr="0018326A" w:rsidRDefault="00821D06" w:rsidP="00821D06">
            <w:pPr>
              <w:spacing w:after="0"/>
              <w:rPr>
                <w:sz w:val="18"/>
                <w:szCs w:val="18"/>
              </w:rPr>
            </w:pPr>
            <w:r w:rsidRPr="0018326A">
              <w:rPr>
                <w:color w:val="000000"/>
                <w:sz w:val="18"/>
                <w:szCs w:val="18"/>
              </w:rPr>
              <w:lastRenderedPageBreak/>
              <w:t xml:space="preserve">Ustalenia obowiązującego miejscowego planu zagospodarowania przestrzennego dla działek lub ich fragmentów, znajdujących się w odległości do 100 m od granicy terenu </w:t>
            </w:r>
            <w:r w:rsidRPr="0018326A">
              <w:rPr>
                <w:color w:val="000000"/>
                <w:sz w:val="18"/>
                <w:szCs w:val="18"/>
              </w:rPr>
              <w:lastRenderedPageBreak/>
              <w:t>objętego przedsięwzięciem deweloperskim lub zadaniem inwestycyjnym</w:t>
            </w:r>
            <w:r w:rsidRPr="0018326A">
              <w:rPr>
                <w:color w:val="000000"/>
                <w:sz w:val="18"/>
                <w:szCs w:val="18"/>
                <w:vertAlign w:val="superscript"/>
              </w:rPr>
              <w:t>5</w:t>
            </w:r>
            <w:r w:rsidRPr="0018326A">
              <w:rPr>
                <w:color w:val="000000"/>
                <w:sz w:val="18"/>
                <w:szCs w:val="18"/>
              </w:rPr>
              <w:t>)</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450C560" w14:textId="77777777" w:rsidR="00821D06" w:rsidRPr="0018326A" w:rsidRDefault="00821D06" w:rsidP="00821D06">
            <w:pPr>
              <w:spacing w:after="0"/>
              <w:rPr>
                <w:sz w:val="18"/>
                <w:szCs w:val="18"/>
              </w:rPr>
            </w:pPr>
            <w:r w:rsidRPr="0018326A">
              <w:rPr>
                <w:color w:val="000000"/>
                <w:sz w:val="18"/>
                <w:szCs w:val="18"/>
              </w:rPr>
              <w:lastRenderedPageBreak/>
              <w:t>Przeznaczenie terenu</w:t>
            </w:r>
          </w:p>
        </w:tc>
        <w:tc>
          <w:tcPr>
            <w:tcW w:w="4536" w:type="dxa"/>
            <w:tcBorders>
              <w:bottom w:val="single" w:sz="8" w:space="0" w:color="000000"/>
              <w:right w:val="single" w:sz="8" w:space="0" w:color="000000"/>
            </w:tcBorders>
            <w:tcMar>
              <w:top w:w="15" w:type="dxa"/>
              <w:left w:w="15" w:type="dxa"/>
              <w:bottom w:w="15" w:type="dxa"/>
              <w:right w:w="15" w:type="dxa"/>
            </w:tcMar>
          </w:tcPr>
          <w:p w14:paraId="5B6D5186" w14:textId="11A1B7A9" w:rsidR="00BA688F" w:rsidRPr="00BA688F" w:rsidRDefault="00BA688F" w:rsidP="00BA688F">
            <w:pPr>
              <w:pStyle w:val="Akapitzlist"/>
              <w:numPr>
                <w:ilvl w:val="0"/>
                <w:numId w:val="36"/>
              </w:numPr>
              <w:rPr>
                <w:sz w:val="18"/>
                <w:szCs w:val="18"/>
              </w:rPr>
            </w:pPr>
            <w:r w:rsidRPr="00107FC0">
              <w:rPr>
                <w:sz w:val="18"/>
                <w:szCs w:val="18"/>
              </w:rPr>
              <w:t xml:space="preserve">zabudowa mieszkaniowa mieszana jednorodzinna i wielorodzinna, </w:t>
            </w:r>
          </w:p>
          <w:p w14:paraId="1CCB2816" w14:textId="77777777" w:rsidR="00107FC0" w:rsidRDefault="00821D06" w:rsidP="00107FC0">
            <w:pPr>
              <w:pStyle w:val="Akapitzlist"/>
              <w:numPr>
                <w:ilvl w:val="0"/>
                <w:numId w:val="36"/>
              </w:numPr>
              <w:rPr>
                <w:sz w:val="18"/>
                <w:szCs w:val="18"/>
              </w:rPr>
            </w:pPr>
            <w:r w:rsidRPr="00107FC0">
              <w:rPr>
                <w:sz w:val="18"/>
                <w:szCs w:val="18"/>
              </w:rPr>
              <w:t>zabudowa jednorodzinna,</w:t>
            </w:r>
            <w:r w:rsidR="00964DA0" w:rsidRPr="00107FC0">
              <w:rPr>
                <w:sz w:val="18"/>
                <w:szCs w:val="18"/>
              </w:rPr>
              <w:t xml:space="preserve"> </w:t>
            </w:r>
          </w:p>
          <w:p w14:paraId="0F09BB01" w14:textId="77777777" w:rsidR="00BA688F" w:rsidRDefault="00BA688F" w:rsidP="00BA688F">
            <w:pPr>
              <w:pStyle w:val="Akapitzlist"/>
              <w:numPr>
                <w:ilvl w:val="0"/>
                <w:numId w:val="36"/>
              </w:numPr>
              <w:rPr>
                <w:sz w:val="18"/>
                <w:szCs w:val="18"/>
              </w:rPr>
            </w:pPr>
            <w:r w:rsidRPr="00BA688F">
              <w:rPr>
                <w:sz w:val="18"/>
                <w:szCs w:val="18"/>
              </w:rPr>
              <w:t xml:space="preserve">zabudowa usług produkcyjnych i składów z mieszkaniem właściciela, </w:t>
            </w:r>
          </w:p>
          <w:p w14:paraId="0BA89ADA" w14:textId="77777777" w:rsidR="00BA688F" w:rsidRPr="00BA688F" w:rsidRDefault="00BA688F" w:rsidP="00BA688F">
            <w:pPr>
              <w:pStyle w:val="Akapitzlist"/>
              <w:numPr>
                <w:ilvl w:val="0"/>
                <w:numId w:val="36"/>
              </w:numPr>
              <w:rPr>
                <w:sz w:val="18"/>
                <w:szCs w:val="18"/>
              </w:rPr>
            </w:pPr>
            <w:r w:rsidRPr="00BA688F">
              <w:rPr>
                <w:sz w:val="18"/>
                <w:szCs w:val="18"/>
              </w:rPr>
              <w:lastRenderedPageBreak/>
              <w:t xml:space="preserve">droga dojazdowa, </w:t>
            </w:r>
          </w:p>
          <w:p w14:paraId="62BDB915" w14:textId="7D645DD1" w:rsidR="00BA688F" w:rsidRDefault="00BA688F" w:rsidP="00BA688F">
            <w:pPr>
              <w:pStyle w:val="Akapitzlist"/>
              <w:numPr>
                <w:ilvl w:val="0"/>
                <w:numId w:val="36"/>
              </w:numPr>
              <w:rPr>
                <w:sz w:val="18"/>
                <w:szCs w:val="18"/>
              </w:rPr>
            </w:pPr>
            <w:r w:rsidRPr="00BA688F">
              <w:rPr>
                <w:sz w:val="18"/>
                <w:szCs w:val="18"/>
              </w:rPr>
              <w:t>droga lokalna</w:t>
            </w:r>
          </w:p>
          <w:p w14:paraId="7A9D4300" w14:textId="23C8BAC1" w:rsidR="00BA688F" w:rsidRPr="00BA688F" w:rsidRDefault="00BA688F" w:rsidP="00BA688F">
            <w:pPr>
              <w:pStyle w:val="Akapitzlist"/>
              <w:numPr>
                <w:ilvl w:val="0"/>
                <w:numId w:val="36"/>
              </w:numPr>
              <w:rPr>
                <w:sz w:val="18"/>
                <w:szCs w:val="18"/>
              </w:rPr>
            </w:pPr>
            <w:r>
              <w:rPr>
                <w:sz w:val="18"/>
                <w:szCs w:val="18"/>
              </w:rPr>
              <w:t>ziemia rolna,</w:t>
            </w:r>
          </w:p>
          <w:p w14:paraId="19B0C04E" w14:textId="67A3CB16" w:rsidR="00BA688F" w:rsidRPr="00BA688F" w:rsidRDefault="00BA688F" w:rsidP="00BA688F">
            <w:pPr>
              <w:pStyle w:val="Akapitzlist"/>
              <w:numPr>
                <w:ilvl w:val="0"/>
                <w:numId w:val="36"/>
              </w:numPr>
              <w:rPr>
                <w:sz w:val="18"/>
                <w:szCs w:val="18"/>
              </w:rPr>
            </w:pPr>
            <w:r w:rsidRPr="00BA688F">
              <w:rPr>
                <w:sz w:val="18"/>
                <w:szCs w:val="18"/>
              </w:rPr>
              <w:t>lasy i zadrzewienia</w:t>
            </w:r>
            <w:r>
              <w:rPr>
                <w:sz w:val="18"/>
                <w:szCs w:val="18"/>
              </w:rPr>
              <w:t>.</w:t>
            </w:r>
          </w:p>
        </w:tc>
      </w:tr>
      <w:tr w:rsidR="00821D06" w:rsidRPr="0018326A" w14:paraId="2700E30B" w14:textId="31A850C3" w:rsidTr="00821D06">
        <w:trPr>
          <w:trHeight w:val="45"/>
          <w:tblCellSpacing w:w="0" w:type="auto"/>
        </w:trPr>
        <w:tc>
          <w:tcPr>
            <w:tcW w:w="3261" w:type="dxa"/>
            <w:vMerge/>
            <w:tcBorders>
              <w:top w:val="nil"/>
              <w:bottom w:val="single" w:sz="8" w:space="0" w:color="000000"/>
              <w:right w:val="single" w:sz="8" w:space="0" w:color="000000"/>
            </w:tcBorders>
          </w:tcPr>
          <w:p w14:paraId="7CD32220"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AD123E1" w14:textId="77777777" w:rsidR="00821D06" w:rsidRPr="0018326A" w:rsidRDefault="00821D06" w:rsidP="00821D06">
            <w:pPr>
              <w:spacing w:after="0"/>
              <w:rPr>
                <w:sz w:val="18"/>
                <w:szCs w:val="18"/>
              </w:rPr>
            </w:pPr>
            <w:r w:rsidRPr="0018326A">
              <w:rPr>
                <w:color w:val="000000"/>
                <w:sz w:val="18"/>
                <w:szCs w:val="18"/>
              </w:rPr>
              <w:t>Maksymalna intensywność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72EA9F4B" w14:textId="77777777" w:rsidR="00821D06" w:rsidRDefault="00BA688F" w:rsidP="00531335">
            <w:pPr>
              <w:pStyle w:val="Akapitzlist"/>
              <w:numPr>
                <w:ilvl w:val="0"/>
                <w:numId w:val="39"/>
              </w:numPr>
              <w:rPr>
                <w:sz w:val="18"/>
                <w:szCs w:val="18"/>
              </w:rPr>
            </w:pPr>
            <w:r w:rsidRPr="00107FC0">
              <w:rPr>
                <w:sz w:val="18"/>
                <w:szCs w:val="18"/>
              </w:rPr>
              <w:t>zabudowa mieszkaniowa mieszana jednorodzinna i wielorodzinna</w:t>
            </w:r>
            <w:r w:rsidR="009014DB" w:rsidRPr="00BA688F">
              <w:rPr>
                <w:sz w:val="18"/>
                <w:szCs w:val="18"/>
              </w:rPr>
              <w:t xml:space="preserve"> </w:t>
            </w:r>
            <w:r w:rsidR="007F24E0" w:rsidRPr="00BA688F">
              <w:rPr>
                <w:sz w:val="18"/>
                <w:szCs w:val="18"/>
              </w:rPr>
              <w:t xml:space="preserve">- </w:t>
            </w:r>
            <w:r w:rsidR="00821D06" w:rsidRPr="00BA688F">
              <w:rPr>
                <w:sz w:val="18"/>
                <w:szCs w:val="18"/>
              </w:rPr>
              <w:t>1,2</w:t>
            </w:r>
          </w:p>
          <w:p w14:paraId="52BAE630" w14:textId="77777777" w:rsidR="00BA688F" w:rsidRDefault="00BA688F" w:rsidP="00531335">
            <w:pPr>
              <w:pStyle w:val="Akapitzlist"/>
              <w:numPr>
                <w:ilvl w:val="0"/>
                <w:numId w:val="39"/>
              </w:numPr>
              <w:rPr>
                <w:sz w:val="18"/>
                <w:szCs w:val="18"/>
              </w:rPr>
            </w:pPr>
            <w:r>
              <w:rPr>
                <w:sz w:val="18"/>
                <w:szCs w:val="18"/>
              </w:rPr>
              <w:t xml:space="preserve">zabudowa jednorodzinna </w:t>
            </w:r>
            <w:r w:rsidR="00531335">
              <w:rPr>
                <w:sz w:val="18"/>
                <w:szCs w:val="18"/>
              </w:rPr>
              <w:t>– nie ustalono</w:t>
            </w:r>
          </w:p>
          <w:p w14:paraId="785F8A00" w14:textId="58CB8779" w:rsidR="00531335" w:rsidRDefault="00531335" w:rsidP="00531335">
            <w:pPr>
              <w:pStyle w:val="Akapitzlist"/>
              <w:numPr>
                <w:ilvl w:val="0"/>
                <w:numId w:val="39"/>
              </w:numPr>
              <w:rPr>
                <w:sz w:val="18"/>
                <w:szCs w:val="18"/>
              </w:rPr>
            </w:pPr>
            <w:r w:rsidRPr="00BA688F">
              <w:rPr>
                <w:sz w:val="18"/>
                <w:szCs w:val="18"/>
              </w:rPr>
              <w:t>zabudowa usług produkcyjnych i składów z mieszkaniem właściciela</w:t>
            </w:r>
            <w:r>
              <w:rPr>
                <w:sz w:val="18"/>
                <w:szCs w:val="18"/>
              </w:rPr>
              <w:t xml:space="preserve"> – nie ustalono</w:t>
            </w:r>
          </w:p>
          <w:p w14:paraId="212F198A" w14:textId="0198558B" w:rsidR="00531335" w:rsidRPr="00BA688F" w:rsidRDefault="00531335" w:rsidP="00531335">
            <w:pPr>
              <w:pStyle w:val="Akapitzlist"/>
              <w:numPr>
                <w:ilvl w:val="0"/>
                <w:numId w:val="39"/>
              </w:numPr>
              <w:rPr>
                <w:sz w:val="18"/>
                <w:szCs w:val="18"/>
              </w:rPr>
            </w:pPr>
            <w:r>
              <w:rPr>
                <w:sz w:val="18"/>
                <w:szCs w:val="18"/>
              </w:rPr>
              <w:t>ziemia rolna – nie ustalono</w:t>
            </w:r>
          </w:p>
        </w:tc>
      </w:tr>
      <w:tr w:rsidR="00821D06" w:rsidRPr="0018326A" w14:paraId="486AB8D7" w14:textId="77777777" w:rsidTr="00821D06">
        <w:trPr>
          <w:trHeight w:val="45"/>
          <w:tblCellSpacing w:w="0" w:type="auto"/>
        </w:trPr>
        <w:tc>
          <w:tcPr>
            <w:tcW w:w="3261" w:type="dxa"/>
            <w:vMerge/>
            <w:tcBorders>
              <w:top w:val="nil"/>
              <w:bottom w:val="single" w:sz="8" w:space="0" w:color="000000"/>
              <w:right w:val="single" w:sz="8" w:space="0" w:color="000000"/>
            </w:tcBorders>
          </w:tcPr>
          <w:p w14:paraId="6812DD5B"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6C2ED63" w14:textId="77777777" w:rsidR="00821D06" w:rsidRPr="0018326A" w:rsidRDefault="00821D06" w:rsidP="00821D06">
            <w:pPr>
              <w:spacing w:after="0"/>
              <w:rPr>
                <w:sz w:val="18"/>
                <w:szCs w:val="18"/>
              </w:rPr>
            </w:pPr>
            <w:r w:rsidRPr="0018326A">
              <w:rPr>
                <w:color w:val="000000"/>
                <w:sz w:val="18"/>
                <w:szCs w:val="18"/>
              </w:rPr>
              <w:t>Maksymalna i minimalna nadziemna intensywność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492D220E" w14:textId="1A1D54E1" w:rsidR="00531335" w:rsidRDefault="00531335" w:rsidP="00531335">
            <w:pPr>
              <w:pStyle w:val="Akapitzlist"/>
              <w:numPr>
                <w:ilvl w:val="0"/>
                <w:numId w:val="41"/>
              </w:numPr>
              <w:rPr>
                <w:sz w:val="18"/>
                <w:szCs w:val="18"/>
              </w:rPr>
            </w:pPr>
            <w:r w:rsidRPr="00107FC0">
              <w:rPr>
                <w:sz w:val="18"/>
                <w:szCs w:val="18"/>
              </w:rPr>
              <w:t>zabudowa mieszkaniowa mieszana jednorodzinna i wielorodzinna</w:t>
            </w:r>
            <w:r>
              <w:rPr>
                <w:sz w:val="18"/>
                <w:szCs w:val="18"/>
              </w:rPr>
              <w:t>:</w:t>
            </w:r>
          </w:p>
          <w:p w14:paraId="54E43D63" w14:textId="4DE2BCF3" w:rsidR="00531335" w:rsidRDefault="00531335" w:rsidP="00531335">
            <w:pPr>
              <w:pStyle w:val="Akapitzlist"/>
              <w:rPr>
                <w:sz w:val="18"/>
                <w:szCs w:val="18"/>
              </w:rPr>
            </w:pPr>
            <w:r w:rsidRPr="00BA688F">
              <w:rPr>
                <w:sz w:val="18"/>
                <w:szCs w:val="18"/>
              </w:rPr>
              <w:t xml:space="preserve"> </w:t>
            </w:r>
            <w:r>
              <w:rPr>
                <w:sz w:val="18"/>
                <w:szCs w:val="18"/>
              </w:rPr>
              <w:t xml:space="preserve">maksymalna intensywność zabudowy - </w:t>
            </w:r>
            <w:r w:rsidRPr="00BA688F">
              <w:rPr>
                <w:sz w:val="18"/>
                <w:szCs w:val="18"/>
              </w:rPr>
              <w:t>1,2</w:t>
            </w:r>
          </w:p>
          <w:p w14:paraId="2F06BB11" w14:textId="64732F89" w:rsidR="00531335" w:rsidRDefault="00531335" w:rsidP="00531335">
            <w:pPr>
              <w:pStyle w:val="Akapitzlist"/>
              <w:rPr>
                <w:sz w:val="18"/>
                <w:szCs w:val="18"/>
              </w:rPr>
            </w:pPr>
            <w:r>
              <w:rPr>
                <w:sz w:val="18"/>
                <w:szCs w:val="18"/>
              </w:rPr>
              <w:t>minimalna – nie ustalono</w:t>
            </w:r>
          </w:p>
          <w:p w14:paraId="5313E325" w14:textId="77777777" w:rsidR="00531335" w:rsidRDefault="00531335" w:rsidP="00531335">
            <w:pPr>
              <w:pStyle w:val="Akapitzlist"/>
              <w:numPr>
                <w:ilvl w:val="0"/>
                <w:numId w:val="41"/>
              </w:numPr>
              <w:rPr>
                <w:sz w:val="18"/>
                <w:szCs w:val="18"/>
              </w:rPr>
            </w:pPr>
            <w:r>
              <w:rPr>
                <w:sz w:val="18"/>
                <w:szCs w:val="18"/>
              </w:rPr>
              <w:t>zabudowa jednorodzinna – nie ustalono</w:t>
            </w:r>
          </w:p>
          <w:p w14:paraId="19FA16D4" w14:textId="77777777" w:rsidR="00531335" w:rsidRDefault="00531335" w:rsidP="00531335">
            <w:pPr>
              <w:pStyle w:val="Akapitzlist"/>
              <w:numPr>
                <w:ilvl w:val="0"/>
                <w:numId w:val="41"/>
              </w:numPr>
              <w:rPr>
                <w:sz w:val="18"/>
                <w:szCs w:val="18"/>
              </w:rPr>
            </w:pPr>
            <w:r w:rsidRPr="00BA688F">
              <w:rPr>
                <w:sz w:val="18"/>
                <w:szCs w:val="18"/>
              </w:rPr>
              <w:t>zabudowa usług produkcyjnych i składów z mieszkaniem właściciela</w:t>
            </w:r>
            <w:r>
              <w:rPr>
                <w:sz w:val="18"/>
                <w:szCs w:val="18"/>
              </w:rPr>
              <w:t xml:space="preserve"> – nie ustalono</w:t>
            </w:r>
          </w:p>
          <w:p w14:paraId="6F19B612" w14:textId="35E47F72" w:rsidR="00821D06" w:rsidRPr="00531335" w:rsidRDefault="00531335" w:rsidP="00531335">
            <w:pPr>
              <w:pStyle w:val="Akapitzlist"/>
              <w:numPr>
                <w:ilvl w:val="0"/>
                <w:numId w:val="41"/>
              </w:numPr>
              <w:rPr>
                <w:sz w:val="18"/>
                <w:szCs w:val="18"/>
              </w:rPr>
            </w:pPr>
            <w:r w:rsidRPr="00531335">
              <w:rPr>
                <w:sz w:val="18"/>
                <w:szCs w:val="18"/>
              </w:rPr>
              <w:t>ziemia rolna – nie ustalono</w:t>
            </w:r>
          </w:p>
        </w:tc>
      </w:tr>
      <w:tr w:rsidR="00821D06" w:rsidRPr="0018326A" w14:paraId="3DD8CD1B" w14:textId="77777777" w:rsidTr="00821D06">
        <w:trPr>
          <w:trHeight w:val="45"/>
          <w:tblCellSpacing w:w="0" w:type="auto"/>
        </w:trPr>
        <w:tc>
          <w:tcPr>
            <w:tcW w:w="3261" w:type="dxa"/>
            <w:vMerge/>
            <w:tcBorders>
              <w:top w:val="nil"/>
              <w:bottom w:val="single" w:sz="8" w:space="0" w:color="000000"/>
              <w:right w:val="single" w:sz="8" w:space="0" w:color="000000"/>
            </w:tcBorders>
          </w:tcPr>
          <w:p w14:paraId="4141E3F3"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7D2C4EF" w14:textId="77777777" w:rsidR="00821D06" w:rsidRPr="0018326A" w:rsidRDefault="00821D06" w:rsidP="00821D06">
            <w:pPr>
              <w:spacing w:after="0"/>
              <w:rPr>
                <w:sz w:val="18"/>
                <w:szCs w:val="18"/>
              </w:rPr>
            </w:pPr>
            <w:r w:rsidRPr="0018326A">
              <w:rPr>
                <w:color w:val="000000"/>
                <w:sz w:val="18"/>
                <w:szCs w:val="18"/>
              </w:rPr>
              <w:t>Maksymalna powierzchnia zabudowy</w:t>
            </w:r>
          </w:p>
        </w:tc>
        <w:tc>
          <w:tcPr>
            <w:tcW w:w="4536" w:type="dxa"/>
            <w:tcBorders>
              <w:bottom w:val="single" w:sz="8" w:space="0" w:color="000000"/>
              <w:right w:val="single" w:sz="8" w:space="0" w:color="000000"/>
            </w:tcBorders>
            <w:tcMar>
              <w:top w:w="15" w:type="dxa"/>
              <w:left w:w="15" w:type="dxa"/>
              <w:bottom w:w="15" w:type="dxa"/>
              <w:right w:w="15" w:type="dxa"/>
            </w:tcMar>
          </w:tcPr>
          <w:p w14:paraId="0BD9CEA2" w14:textId="329E123C" w:rsidR="00821D06" w:rsidRPr="00531335" w:rsidRDefault="00821D06" w:rsidP="001128EF">
            <w:pPr>
              <w:rPr>
                <w:sz w:val="18"/>
                <w:szCs w:val="18"/>
              </w:rPr>
            </w:pPr>
            <w:r w:rsidRPr="00531335">
              <w:rPr>
                <w:sz w:val="18"/>
                <w:szCs w:val="18"/>
              </w:rPr>
              <w:t>Nie ustala się</w:t>
            </w:r>
          </w:p>
        </w:tc>
      </w:tr>
      <w:tr w:rsidR="00821D06" w:rsidRPr="0018326A" w14:paraId="51A40269" w14:textId="77777777" w:rsidTr="00821D06">
        <w:trPr>
          <w:trHeight w:val="45"/>
          <w:tblCellSpacing w:w="0" w:type="auto"/>
        </w:trPr>
        <w:tc>
          <w:tcPr>
            <w:tcW w:w="3261" w:type="dxa"/>
            <w:vMerge/>
            <w:tcBorders>
              <w:top w:val="nil"/>
              <w:bottom w:val="single" w:sz="8" w:space="0" w:color="000000"/>
              <w:right w:val="single" w:sz="8" w:space="0" w:color="000000"/>
            </w:tcBorders>
          </w:tcPr>
          <w:p w14:paraId="41415DC0"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3B65988" w14:textId="77777777" w:rsidR="00821D06" w:rsidRPr="004611A7" w:rsidRDefault="00821D06" w:rsidP="00821D06">
            <w:pPr>
              <w:spacing w:after="0"/>
              <w:rPr>
                <w:sz w:val="18"/>
                <w:szCs w:val="18"/>
              </w:rPr>
            </w:pPr>
            <w:r w:rsidRPr="004611A7">
              <w:rPr>
                <w:color w:val="000000"/>
                <w:sz w:val="18"/>
                <w:szCs w:val="18"/>
              </w:rPr>
              <w:t>Maksymalna wysokość zabudowy</w:t>
            </w:r>
          </w:p>
        </w:tc>
        <w:tc>
          <w:tcPr>
            <w:tcW w:w="4536" w:type="dxa"/>
            <w:tcBorders>
              <w:bottom w:val="single" w:sz="8" w:space="0" w:color="000000"/>
              <w:right w:val="single" w:sz="8" w:space="0" w:color="000000"/>
            </w:tcBorders>
            <w:tcMar>
              <w:top w:w="15" w:type="dxa"/>
              <w:left w:w="15" w:type="dxa"/>
              <w:bottom w:w="15" w:type="dxa"/>
              <w:right w:w="15" w:type="dxa"/>
            </w:tcMar>
          </w:tcPr>
          <w:p w14:paraId="14E1B6B3" w14:textId="75F361BF" w:rsidR="00531335" w:rsidRPr="00531335" w:rsidRDefault="00531335" w:rsidP="00531335">
            <w:pPr>
              <w:pStyle w:val="Akapitzlist"/>
              <w:numPr>
                <w:ilvl w:val="0"/>
                <w:numId w:val="37"/>
              </w:numPr>
              <w:rPr>
                <w:rFonts w:cs="Calibri"/>
                <w:sz w:val="18"/>
                <w:szCs w:val="18"/>
              </w:rPr>
            </w:pPr>
            <w:r>
              <w:rPr>
                <w:rFonts w:cs="Calibri"/>
                <w:sz w:val="18"/>
                <w:szCs w:val="18"/>
              </w:rPr>
              <w:t>dla zabudowy wielorodzinnej – dwie do trzech kondygnacji plus poddasze użytkowe i maksimum 15 m wysokości,</w:t>
            </w:r>
          </w:p>
          <w:p w14:paraId="2E43E281" w14:textId="6BB69914" w:rsidR="004611A7" w:rsidRDefault="004611A7" w:rsidP="00E95ADD">
            <w:pPr>
              <w:pStyle w:val="Akapitzlist"/>
              <w:numPr>
                <w:ilvl w:val="0"/>
                <w:numId w:val="37"/>
              </w:numPr>
              <w:rPr>
                <w:rFonts w:cs="Calibri"/>
                <w:sz w:val="18"/>
                <w:szCs w:val="18"/>
              </w:rPr>
            </w:pPr>
            <w:r w:rsidRPr="00E95ADD">
              <w:rPr>
                <w:rFonts w:cs="Calibri"/>
                <w:sz w:val="18"/>
                <w:szCs w:val="18"/>
              </w:rPr>
              <w:t>dla zabudowy jednorodzinnej</w:t>
            </w:r>
            <w:r w:rsidR="002C5AAD">
              <w:rPr>
                <w:rFonts w:cs="Calibri"/>
                <w:sz w:val="18"/>
                <w:szCs w:val="18"/>
              </w:rPr>
              <w:t xml:space="preserve"> i mieszkaniowo-usługowej</w:t>
            </w:r>
            <w:r w:rsidRPr="00E95ADD">
              <w:rPr>
                <w:rFonts w:cs="Calibri"/>
                <w:sz w:val="18"/>
                <w:szCs w:val="18"/>
              </w:rPr>
              <w:t xml:space="preserve"> – podstawowa wysokość jedna kondygnacja </w:t>
            </w:r>
            <w:r w:rsidR="00E95ADD">
              <w:rPr>
                <w:rFonts w:cs="Calibri"/>
                <w:sz w:val="18"/>
                <w:szCs w:val="18"/>
              </w:rPr>
              <w:t>plus poddasze użytkowe i maksimum 9,5 m wysokości, z wyjątkiem zabudowy o charakterze rezydencjonalnym na działkach minimum 2500 m</w:t>
            </w:r>
            <w:r w:rsidR="00E95ADD">
              <w:rPr>
                <w:rFonts w:cs="Calibri"/>
                <w:sz w:val="18"/>
                <w:szCs w:val="18"/>
                <w:vertAlign w:val="superscript"/>
              </w:rPr>
              <w:t>2</w:t>
            </w:r>
            <w:r w:rsidR="00E95ADD">
              <w:rPr>
                <w:rFonts w:cs="Calibri"/>
                <w:sz w:val="18"/>
                <w:szCs w:val="18"/>
              </w:rPr>
              <w:t>, jak i w kompleksowo projektowanych nowych zespołach zabudowy jednorodzinnej, w których dopuszcza się dwie kondygnacje plus poddasze użytkowe i maksimum 12 m wysokości,</w:t>
            </w:r>
          </w:p>
          <w:p w14:paraId="552D532B" w14:textId="2BC5AD9F" w:rsidR="002C5AAD" w:rsidRDefault="002C5AAD" w:rsidP="00E95ADD">
            <w:pPr>
              <w:pStyle w:val="Akapitzlist"/>
              <w:numPr>
                <w:ilvl w:val="0"/>
                <w:numId w:val="37"/>
              </w:numPr>
              <w:rPr>
                <w:rFonts w:cs="Calibri"/>
                <w:sz w:val="18"/>
                <w:szCs w:val="18"/>
              </w:rPr>
            </w:pPr>
            <w:r>
              <w:rPr>
                <w:rFonts w:cs="Calibri"/>
                <w:sz w:val="18"/>
                <w:szCs w:val="18"/>
              </w:rPr>
              <w:t>dla zabudowy usługowej – jedna do trzech kondygnacji plus poddasze użytkowe z dopuszczeniem podpiwniczenia budynków,</w:t>
            </w:r>
          </w:p>
          <w:p w14:paraId="05957487" w14:textId="35A0CB4E" w:rsidR="00821D06" w:rsidRPr="004611A7" w:rsidRDefault="00E95ADD" w:rsidP="007F24E0">
            <w:pPr>
              <w:pStyle w:val="Akapitzlist"/>
              <w:numPr>
                <w:ilvl w:val="0"/>
                <w:numId w:val="37"/>
              </w:numPr>
              <w:rPr>
                <w:sz w:val="18"/>
                <w:szCs w:val="18"/>
              </w:rPr>
            </w:pPr>
            <w:r w:rsidRPr="007F24E0">
              <w:rPr>
                <w:rFonts w:cs="Calibri"/>
                <w:sz w:val="18"/>
                <w:szCs w:val="18"/>
              </w:rPr>
              <w:t>dla pozostałej zabudowy – jedna do dwóch kondygnacji, ale nie wyżej jak 12 m do kalenicy dachu</w:t>
            </w:r>
          </w:p>
        </w:tc>
      </w:tr>
      <w:tr w:rsidR="00821D06" w:rsidRPr="0018326A" w14:paraId="44C60FF2" w14:textId="77777777" w:rsidTr="00821D06">
        <w:trPr>
          <w:trHeight w:val="45"/>
          <w:tblCellSpacing w:w="0" w:type="auto"/>
        </w:trPr>
        <w:tc>
          <w:tcPr>
            <w:tcW w:w="3261" w:type="dxa"/>
            <w:vMerge/>
            <w:tcBorders>
              <w:top w:val="nil"/>
              <w:bottom w:val="single" w:sz="8" w:space="0" w:color="000000"/>
              <w:right w:val="single" w:sz="8" w:space="0" w:color="000000"/>
            </w:tcBorders>
          </w:tcPr>
          <w:p w14:paraId="1BFD45CC"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E6B59CE" w14:textId="77777777" w:rsidR="00821D06" w:rsidRPr="0018326A" w:rsidRDefault="00821D06" w:rsidP="00821D06">
            <w:pPr>
              <w:spacing w:after="0"/>
              <w:rPr>
                <w:sz w:val="18"/>
                <w:szCs w:val="18"/>
              </w:rPr>
            </w:pPr>
            <w:r w:rsidRPr="0018326A">
              <w:rPr>
                <w:color w:val="000000"/>
                <w:sz w:val="18"/>
                <w:szCs w:val="18"/>
              </w:rPr>
              <w:t>Minimalny udział procentowy powierzchni biologicznie czynnej</w:t>
            </w:r>
          </w:p>
        </w:tc>
        <w:tc>
          <w:tcPr>
            <w:tcW w:w="4536" w:type="dxa"/>
            <w:tcBorders>
              <w:bottom w:val="single" w:sz="8" w:space="0" w:color="000000"/>
              <w:right w:val="single" w:sz="8" w:space="0" w:color="000000"/>
            </w:tcBorders>
            <w:tcMar>
              <w:top w:w="15" w:type="dxa"/>
              <w:left w:w="15" w:type="dxa"/>
              <w:bottom w:w="15" w:type="dxa"/>
              <w:right w:w="15" w:type="dxa"/>
            </w:tcMar>
          </w:tcPr>
          <w:p w14:paraId="0325ED59" w14:textId="77777777" w:rsidR="00E96F62" w:rsidRDefault="00E96F62" w:rsidP="00F25F52">
            <w:pPr>
              <w:rPr>
                <w:rFonts w:cs="Calibri"/>
                <w:sz w:val="18"/>
                <w:szCs w:val="18"/>
              </w:rPr>
            </w:pPr>
            <w:r>
              <w:rPr>
                <w:rFonts w:cs="Calibri"/>
                <w:sz w:val="18"/>
                <w:szCs w:val="18"/>
              </w:rPr>
              <w:t>Minimalny udział procentowy powierzchni biologicznie czynnej dla:</w:t>
            </w:r>
          </w:p>
          <w:p w14:paraId="610F2355" w14:textId="77777777" w:rsidR="00E96F62" w:rsidRDefault="00E96F62" w:rsidP="004611A7">
            <w:pPr>
              <w:pStyle w:val="Akapitzlist"/>
              <w:numPr>
                <w:ilvl w:val="0"/>
                <w:numId w:val="35"/>
              </w:numPr>
              <w:ind w:left="272" w:hanging="130"/>
              <w:rPr>
                <w:sz w:val="18"/>
                <w:szCs w:val="18"/>
              </w:rPr>
            </w:pPr>
            <w:r>
              <w:rPr>
                <w:sz w:val="18"/>
                <w:szCs w:val="18"/>
              </w:rPr>
              <w:t>50% powierzchni działki zabudowy jednorodzinnej wolnostojącej</w:t>
            </w:r>
          </w:p>
          <w:p w14:paraId="7CF1353B" w14:textId="77777777" w:rsidR="00E96F62" w:rsidRPr="00E96F62" w:rsidRDefault="00E96F62" w:rsidP="004611A7">
            <w:pPr>
              <w:pStyle w:val="Akapitzlist"/>
              <w:numPr>
                <w:ilvl w:val="0"/>
                <w:numId w:val="35"/>
              </w:numPr>
              <w:ind w:left="272" w:hanging="130"/>
              <w:rPr>
                <w:rFonts w:cs="Calibri"/>
                <w:sz w:val="18"/>
                <w:szCs w:val="18"/>
              </w:rPr>
            </w:pPr>
            <w:r>
              <w:rPr>
                <w:sz w:val="18"/>
                <w:szCs w:val="18"/>
              </w:rPr>
              <w:t>40% bliźniaczej</w:t>
            </w:r>
          </w:p>
          <w:p w14:paraId="5761249A" w14:textId="0AE7E2B7" w:rsidR="00821D06" w:rsidRPr="00F84DF7" w:rsidRDefault="00E96F62" w:rsidP="004611A7">
            <w:pPr>
              <w:pStyle w:val="Akapitzlist"/>
              <w:numPr>
                <w:ilvl w:val="0"/>
                <w:numId w:val="35"/>
              </w:numPr>
              <w:ind w:left="272" w:hanging="130"/>
              <w:rPr>
                <w:rFonts w:cs="Calibri"/>
                <w:sz w:val="18"/>
                <w:szCs w:val="18"/>
              </w:rPr>
            </w:pPr>
            <w:r>
              <w:rPr>
                <w:sz w:val="18"/>
                <w:szCs w:val="18"/>
              </w:rPr>
              <w:t>30% szeregowej</w:t>
            </w:r>
          </w:p>
        </w:tc>
      </w:tr>
      <w:tr w:rsidR="00821D06" w:rsidRPr="0018326A" w14:paraId="4B186347" w14:textId="77777777" w:rsidTr="00821D06">
        <w:trPr>
          <w:trHeight w:val="45"/>
          <w:tblCellSpacing w:w="0" w:type="auto"/>
        </w:trPr>
        <w:tc>
          <w:tcPr>
            <w:tcW w:w="3261" w:type="dxa"/>
            <w:vMerge/>
            <w:tcBorders>
              <w:top w:val="nil"/>
              <w:bottom w:val="single" w:sz="8" w:space="0" w:color="000000"/>
              <w:right w:val="single" w:sz="8" w:space="0" w:color="000000"/>
            </w:tcBorders>
          </w:tcPr>
          <w:p w14:paraId="7D5E953F"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0908607" w14:textId="77777777" w:rsidR="00821D06" w:rsidRPr="0018326A" w:rsidRDefault="00821D06" w:rsidP="00821D06">
            <w:pPr>
              <w:spacing w:after="0"/>
              <w:rPr>
                <w:sz w:val="18"/>
                <w:szCs w:val="18"/>
              </w:rPr>
            </w:pPr>
            <w:r w:rsidRPr="0018326A">
              <w:rPr>
                <w:color w:val="000000"/>
                <w:sz w:val="18"/>
                <w:szCs w:val="18"/>
              </w:rPr>
              <w:t>Minimalna liczba miejsc do parkowania</w:t>
            </w:r>
          </w:p>
        </w:tc>
        <w:tc>
          <w:tcPr>
            <w:tcW w:w="4536" w:type="dxa"/>
            <w:tcBorders>
              <w:bottom w:val="single" w:sz="8" w:space="0" w:color="000000"/>
              <w:right w:val="single" w:sz="8" w:space="0" w:color="000000"/>
            </w:tcBorders>
            <w:tcMar>
              <w:top w:w="15" w:type="dxa"/>
              <w:left w:w="15" w:type="dxa"/>
              <w:bottom w:w="15" w:type="dxa"/>
              <w:right w:w="15" w:type="dxa"/>
            </w:tcMar>
          </w:tcPr>
          <w:p w14:paraId="5C30C52F" w14:textId="77777777" w:rsidR="00821D06" w:rsidRDefault="004611A7" w:rsidP="004611A7">
            <w:pPr>
              <w:pStyle w:val="Akapitzlist"/>
              <w:numPr>
                <w:ilvl w:val="0"/>
                <w:numId w:val="35"/>
              </w:numPr>
              <w:spacing w:after="0"/>
              <w:ind w:left="215" w:hanging="130"/>
              <w:rPr>
                <w:sz w:val="18"/>
                <w:szCs w:val="18"/>
              </w:rPr>
            </w:pPr>
            <w:r w:rsidRPr="004611A7">
              <w:rPr>
                <w:sz w:val="18"/>
                <w:szCs w:val="18"/>
              </w:rPr>
              <w:t>dla zabudowy mieszkaniowej mieszanej jednorodzinnej i wielorodzinnej - min. 1,5 miejsca postojowego na 1 mieszkanie, dla usług: 1 miejsce na 3 zatrudnionych plus 1 miejsce na 100 m</w:t>
            </w:r>
            <w:r w:rsidRPr="004611A7">
              <w:rPr>
                <w:sz w:val="18"/>
                <w:szCs w:val="18"/>
                <w:vertAlign w:val="superscript"/>
              </w:rPr>
              <w:t>2</w:t>
            </w:r>
            <w:r w:rsidRPr="004611A7">
              <w:rPr>
                <w:sz w:val="18"/>
                <w:szCs w:val="18"/>
              </w:rPr>
              <w:t xml:space="preserve"> PU</w:t>
            </w:r>
          </w:p>
          <w:p w14:paraId="33728300" w14:textId="1E8653E1" w:rsidR="007F24E0" w:rsidRPr="004611A7" w:rsidRDefault="007F24E0" w:rsidP="004611A7">
            <w:pPr>
              <w:pStyle w:val="Akapitzlist"/>
              <w:numPr>
                <w:ilvl w:val="0"/>
                <w:numId w:val="35"/>
              </w:numPr>
              <w:spacing w:after="0"/>
              <w:ind w:left="215" w:hanging="130"/>
              <w:rPr>
                <w:sz w:val="18"/>
                <w:szCs w:val="18"/>
              </w:rPr>
            </w:pPr>
            <w:r>
              <w:rPr>
                <w:sz w:val="18"/>
                <w:szCs w:val="18"/>
              </w:rPr>
              <w:t xml:space="preserve">w obrębie dróg dla zabudowy jednorodzinnej obowiązuje wydzielenie minimum 1 miejsca postojowego na cztery </w:t>
            </w:r>
            <w:r>
              <w:rPr>
                <w:sz w:val="18"/>
                <w:szCs w:val="18"/>
              </w:rPr>
              <w:lastRenderedPageBreak/>
              <w:t>budynki lub segmenty zabudowy jednorodzinnej, niezależnie od ilości miejsc postojowych na terenie działki</w:t>
            </w:r>
          </w:p>
        </w:tc>
      </w:tr>
      <w:tr w:rsidR="00821D06" w:rsidRPr="0018326A" w14:paraId="4356B4E7"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01A57130" w14:textId="77777777" w:rsidR="00821D06" w:rsidRPr="0018326A" w:rsidRDefault="00821D06" w:rsidP="00821D06">
            <w:pPr>
              <w:spacing w:after="0"/>
              <w:rPr>
                <w:sz w:val="18"/>
                <w:szCs w:val="18"/>
              </w:rPr>
            </w:pPr>
            <w:r w:rsidRPr="0018326A">
              <w:rPr>
                <w:color w:val="000000"/>
                <w:sz w:val="18"/>
                <w:szCs w:val="18"/>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2F40279" w14:textId="77777777" w:rsidR="00821D06" w:rsidRPr="0018326A" w:rsidRDefault="00821D06" w:rsidP="00821D06">
            <w:pPr>
              <w:spacing w:after="0"/>
              <w:rPr>
                <w:sz w:val="18"/>
                <w:szCs w:val="18"/>
              </w:rPr>
            </w:pPr>
            <w:r w:rsidRPr="0018326A">
              <w:rPr>
                <w:color w:val="000000"/>
                <w:sz w:val="18"/>
                <w:szCs w:val="18"/>
              </w:rPr>
              <w:t>Funkcja zabudowy i zagospodarowania terenu</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260FB31A" w14:textId="3AD34900" w:rsidR="00821D06" w:rsidRPr="0018326A" w:rsidRDefault="00821D06" w:rsidP="00821D06">
            <w:pPr>
              <w:spacing w:after="0"/>
              <w:jc w:val="center"/>
              <w:rPr>
                <w:sz w:val="18"/>
                <w:szCs w:val="18"/>
              </w:rPr>
            </w:pPr>
            <w:r>
              <w:rPr>
                <w:sz w:val="18"/>
                <w:szCs w:val="18"/>
              </w:rPr>
              <w:t>Nie dotyczy</w:t>
            </w:r>
          </w:p>
        </w:tc>
      </w:tr>
      <w:tr w:rsidR="00821D06" w:rsidRPr="0018326A" w14:paraId="4ECA740F" w14:textId="77777777" w:rsidTr="0018326A">
        <w:trPr>
          <w:trHeight w:val="45"/>
          <w:tblCellSpacing w:w="0" w:type="auto"/>
        </w:trPr>
        <w:tc>
          <w:tcPr>
            <w:tcW w:w="3261" w:type="dxa"/>
            <w:vMerge/>
            <w:tcBorders>
              <w:top w:val="nil"/>
              <w:bottom w:val="single" w:sz="8" w:space="0" w:color="000000"/>
              <w:right w:val="single" w:sz="8" w:space="0" w:color="000000"/>
            </w:tcBorders>
          </w:tcPr>
          <w:p w14:paraId="7066CE31" w14:textId="77777777" w:rsidR="00821D06" w:rsidRPr="0018326A" w:rsidRDefault="00821D06" w:rsidP="00821D06">
            <w:pPr>
              <w:rPr>
                <w:sz w:val="18"/>
                <w:szCs w:val="18"/>
              </w:rPr>
            </w:pP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33012A8F" w14:textId="77777777" w:rsidR="00821D06" w:rsidRPr="0018326A" w:rsidRDefault="00821D06" w:rsidP="00821D06">
            <w:pPr>
              <w:spacing w:after="0"/>
              <w:rPr>
                <w:sz w:val="18"/>
                <w:szCs w:val="18"/>
              </w:rPr>
            </w:pPr>
            <w:r w:rsidRPr="0018326A">
              <w:rPr>
                <w:color w:val="000000"/>
                <w:sz w:val="18"/>
                <w:szCs w:val="18"/>
              </w:rPr>
              <w:t>Cechy zabudowy i zagospodarowania terenu:</w:t>
            </w:r>
          </w:p>
        </w:tc>
      </w:tr>
      <w:tr w:rsidR="00821D06" w:rsidRPr="0018326A" w14:paraId="7D2B199A" w14:textId="77777777" w:rsidTr="00821D06">
        <w:trPr>
          <w:trHeight w:val="45"/>
          <w:tblCellSpacing w:w="0" w:type="auto"/>
        </w:trPr>
        <w:tc>
          <w:tcPr>
            <w:tcW w:w="3261" w:type="dxa"/>
            <w:vMerge/>
            <w:tcBorders>
              <w:top w:val="nil"/>
              <w:bottom w:val="single" w:sz="8" w:space="0" w:color="000000"/>
              <w:right w:val="single" w:sz="8" w:space="0" w:color="000000"/>
            </w:tcBorders>
          </w:tcPr>
          <w:p w14:paraId="47D3418F"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E86EA30" w14:textId="77777777" w:rsidR="00821D06" w:rsidRPr="0018326A" w:rsidRDefault="00821D06" w:rsidP="00821D06">
            <w:pPr>
              <w:spacing w:after="0"/>
              <w:rPr>
                <w:sz w:val="18"/>
                <w:szCs w:val="18"/>
              </w:rPr>
            </w:pPr>
            <w:r w:rsidRPr="0018326A">
              <w:rPr>
                <w:color w:val="000000"/>
                <w:sz w:val="18"/>
                <w:szCs w:val="18"/>
              </w:rPr>
              <w:t>gabaryty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68D2E1BE" w14:textId="2A88F7BA" w:rsidR="00821D06" w:rsidRPr="0018326A" w:rsidRDefault="00821D06" w:rsidP="00821D06">
            <w:pPr>
              <w:rPr>
                <w:sz w:val="18"/>
                <w:szCs w:val="18"/>
              </w:rPr>
            </w:pPr>
            <w:r>
              <w:rPr>
                <w:sz w:val="18"/>
                <w:szCs w:val="18"/>
              </w:rPr>
              <w:t>Nie dotyczy</w:t>
            </w:r>
          </w:p>
        </w:tc>
      </w:tr>
      <w:tr w:rsidR="00821D06" w:rsidRPr="0018326A" w14:paraId="23AE6AF7" w14:textId="77777777" w:rsidTr="00821D06">
        <w:trPr>
          <w:trHeight w:val="45"/>
          <w:tblCellSpacing w:w="0" w:type="auto"/>
        </w:trPr>
        <w:tc>
          <w:tcPr>
            <w:tcW w:w="3261" w:type="dxa"/>
            <w:vMerge/>
            <w:tcBorders>
              <w:top w:val="nil"/>
              <w:bottom w:val="single" w:sz="8" w:space="0" w:color="000000"/>
              <w:right w:val="single" w:sz="8" w:space="0" w:color="000000"/>
            </w:tcBorders>
          </w:tcPr>
          <w:p w14:paraId="79821224"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DFEF02F" w14:textId="77777777" w:rsidR="00821D06" w:rsidRPr="0018326A" w:rsidRDefault="00821D06" w:rsidP="00821D06">
            <w:pPr>
              <w:spacing w:after="0"/>
              <w:rPr>
                <w:sz w:val="18"/>
                <w:szCs w:val="18"/>
              </w:rPr>
            </w:pPr>
            <w:r w:rsidRPr="0018326A">
              <w:rPr>
                <w:color w:val="000000"/>
                <w:sz w:val="18"/>
                <w:szCs w:val="18"/>
              </w:rPr>
              <w:t>forma architektoniczna</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0850ED5B" w14:textId="63946951" w:rsidR="00821D06" w:rsidRPr="0018326A" w:rsidRDefault="00821D06" w:rsidP="00821D06">
            <w:pPr>
              <w:rPr>
                <w:sz w:val="18"/>
                <w:szCs w:val="18"/>
                <w:highlight w:val="yellow"/>
              </w:rPr>
            </w:pPr>
            <w:r>
              <w:rPr>
                <w:sz w:val="18"/>
                <w:szCs w:val="18"/>
              </w:rPr>
              <w:t>Nie dotyczy</w:t>
            </w:r>
          </w:p>
        </w:tc>
      </w:tr>
      <w:tr w:rsidR="00821D06" w:rsidRPr="0018326A" w14:paraId="69EA2B09" w14:textId="77777777" w:rsidTr="00821D06">
        <w:trPr>
          <w:trHeight w:val="45"/>
          <w:tblCellSpacing w:w="0" w:type="auto"/>
        </w:trPr>
        <w:tc>
          <w:tcPr>
            <w:tcW w:w="3261" w:type="dxa"/>
            <w:vMerge/>
            <w:tcBorders>
              <w:top w:val="nil"/>
              <w:bottom w:val="single" w:sz="8" w:space="0" w:color="000000"/>
              <w:right w:val="single" w:sz="8" w:space="0" w:color="000000"/>
            </w:tcBorders>
          </w:tcPr>
          <w:p w14:paraId="754A5454"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F92091C" w14:textId="77777777" w:rsidR="00821D06" w:rsidRPr="0018326A" w:rsidRDefault="00821D06" w:rsidP="00821D06">
            <w:pPr>
              <w:spacing w:after="0"/>
              <w:rPr>
                <w:sz w:val="18"/>
                <w:szCs w:val="18"/>
              </w:rPr>
            </w:pPr>
            <w:r w:rsidRPr="0018326A">
              <w:rPr>
                <w:color w:val="000000"/>
                <w:sz w:val="18"/>
                <w:szCs w:val="18"/>
              </w:rPr>
              <w:t>usytuowanie linii zabudowy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607454E8" w14:textId="4F9944F5" w:rsidR="00821D06" w:rsidRPr="0018326A" w:rsidRDefault="00821D06" w:rsidP="00821D06">
            <w:pPr>
              <w:rPr>
                <w:sz w:val="18"/>
                <w:szCs w:val="18"/>
              </w:rPr>
            </w:pPr>
            <w:r>
              <w:rPr>
                <w:sz w:val="18"/>
                <w:szCs w:val="18"/>
              </w:rPr>
              <w:t>Nie dotyczy</w:t>
            </w:r>
          </w:p>
        </w:tc>
      </w:tr>
      <w:tr w:rsidR="00821D06" w:rsidRPr="0018326A" w14:paraId="1C58BFEB" w14:textId="77777777" w:rsidTr="00821D06">
        <w:trPr>
          <w:trHeight w:val="45"/>
          <w:tblCellSpacing w:w="0" w:type="auto"/>
        </w:trPr>
        <w:tc>
          <w:tcPr>
            <w:tcW w:w="3261" w:type="dxa"/>
            <w:vMerge/>
            <w:tcBorders>
              <w:top w:val="nil"/>
              <w:bottom w:val="single" w:sz="8" w:space="0" w:color="000000"/>
              <w:right w:val="single" w:sz="8" w:space="0" w:color="000000"/>
            </w:tcBorders>
          </w:tcPr>
          <w:p w14:paraId="5781E18B"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CB67334" w14:textId="77777777" w:rsidR="00821D06" w:rsidRPr="0018326A" w:rsidRDefault="00821D06" w:rsidP="00821D06">
            <w:pPr>
              <w:spacing w:after="0"/>
              <w:rPr>
                <w:sz w:val="18"/>
                <w:szCs w:val="18"/>
              </w:rPr>
            </w:pPr>
            <w:r w:rsidRPr="0018326A">
              <w:rPr>
                <w:color w:val="000000"/>
                <w:sz w:val="18"/>
                <w:szCs w:val="18"/>
              </w:rPr>
              <w:t>intensywność wykorzystania terenu</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6E6E6655" w14:textId="45F7407F" w:rsidR="00821D06" w:rsidRPr="0018326A" w:rsidRDefault="00821D06" w:rsidP="00821D06">
            <w:pPr>
              <w:rPr>
                <w:sz w:val="18"/>
                <w:szCs w:val="18"/>
              </w:rPr>
            </w:pPr>
            <w:r>
              <w:rPr>
                <w:sz w:val="18"/>
                <w:szCs w:val="18"/>
              </w:rPr>
              <w:t>Nie dotyczy</w:t>
            </w:r>
          </w:p>
        </w:tc>
      </w:tr>
      <w:tr w:rsidR="00821D06" w:rsidRPr="0018326A" w14:paraId="0EA2D445" w14:textId="77777777" w:rsidTr="00821D06">
        <w:trPr>
          <w:trHeight w:val="45"/>
          <w:tblCellSpacing w:w="0" w:type="auto"/>
        </w:trPr>
        <w:tc>
          <w:tcPr>
            <w:tcW w:w="3261" w:type="dxa"/>
            <w:vMerge/>
            <w:tcBorders>
              <w:top w:val="nil"/>
              <w:bottom w:val="single" w:sz="8" w:space="0" w:color="000000"/>
              <w:right w:val="single" w:sz="8" w:space="0" w:color="000000"/>
            </w:tcBorders>
          </w:tcPr>
          <w:p w14:paraId="13C769B9"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42F9F65" w14:textId="77777777" w:rsidR="00821D06" w:rsidRPr="0018326A" w:rsidRDefault="00821D06" w:rsidP="00821D06">
            <w:pPr>
              <w:spacing w:after="0"/>
              <w:rPr>
                <w:sz w:val="18"/>
                <w:szCs w:val="18"/>
              </w:rPr>
            </w:pPr>
            <w:r w:rsidRPr="0018326A">
              <w:rPr>
                <w:color w:val="000000"/>
                <w:sz w:val="18"/>
                <w:szCs w:val="18"/>
              </w:rPr>
              <w:t>warunki ochrony środowiska i zdrowia ludzi, przyrody i krajobrazu</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202C095" w14:textId="39722BA4" w:rsidR="00821D06" w:rsidRPr="0018326A" w:rsidRDefault="00821D06" w:rsidP="00821D06">
            <w:pPr>
              <w:rPr>
                <w:sz w:val="18"/>
                <w:szCs w:val="18"/>
              </w:rPr>
            </w:pPr>
            <w:r>
              <w:rPr>
                <w:sz w:val="18"/>
                <w:szCs w:val="18"/>
              </w:rPr>
              <w:t>Nie dotyczy</w:t>
            </w:r>
          </w:p>
        </w:tc>
      </w:tr>
      <w:tr w:rsidR="00821D06" w:rsidRPr="0018326A" w14:paraId="3A96CE9A" w14:textId="77777777" w:rsidTr="00821D06">
        <w:trPr>
          <w:trHeight w:val="45"/>
          <w:tblCellSpacing w:w="0" w:type="auto"/>
        </w:trPr>
        <w:tc>
          <w:tcPr>
            <w:tcW w:w="3261" w:type="dxa"/>
            <w:vMerge/>
            <w:tcBorders>
              <w:top w:val="nil"/>
              <w:bottom w:val="single" w:sz="8" w:space="0" w:color="000000"/>
              <w:right w:val="single" w:sz="8" w:space="0" w:color="000000"/>
            </w:tcBorders>
          </w:tcPr>
          <w:p w14:paraId="17B62121"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1219C18" w14:textId="77777777" w:rsidR="00821D06" w:rsidRPr="0018326A" w:rsidRDefault="00821D06" w:rsidP="00821D06">
            <w:pPr>
              <w:spacing w:after="0"/>
              <w:rPr>
                <w:sz w:val="18"/>
                <w:szCs w:val="18"/>
              </w:rPr>
            </w:pPr>
            <w:r w:rsidRPr="0018326A">
              <w:rPr>
                <w:color w:val="000000"/>
                <w:sz w:val="18"/>
                <w:szCs w:val="18"/>
              </w:rPr>
              <w:t>wymagania dotyczące zabudowy i zagospodarowania terenu położonego na obszarach szczególnego zagrożenia powodzią</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416E2BE5" w14:textId="6C0114CF" w:rsidR="00821D06" w:rsidRPr="0018326A" w:rsidRDefault="00821D06" w:rsidP="00821D06">
            <w:pPr>
              <w:rPr>
                <w:sz w:val="18"/>
                <w:szCs w:val="18"/>
              </w:rPr>
            </w:pPr>
            <w:r>
              <w:rPr>
                <w:sz w:val="18"/>
                <w:szCs w:val="18"/>
              </w:rPr>
              <w:t>Nie dotyczy</w:t>
            </w:r>
          </w:p>
        </w:tc>
      </w:tr>
      <w:tr w:rsidR="00821D06" w:rsidRPr="0018326A" w14:paraId="3A0BC8BD" w14:textId="77777777" w:rsidTr="00821D06">
        <w:trPr>
          <w:trHeight w:val="45"/>
          <w:tblCellSpacing w:w="0" w:type="auto"/>
        </w:trPr>
        <w:tc>
          <w:tcPr>
            <w:tcW w:w="3261" w:type="dxa"/>
            <w:vMerge/>
            <w:tcBorders>
              <w:top w:val="nil"/>
              <w:bottom w:val="single" w:sz="8" w:space="0" w:color="000000"/>
              <w:right w:val="single" w:sz="8" w:space="0" w:color="000000"/>
            </w:tcBorders>
          </w:tcPr>
          <w:p w14:paraId="4680BEB0"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420507C" w14:textId="77777777" w:rsidR="00821D06" w:rsidRPr="0018326A" w:rsidRDefault="00821D06" w:rsidP="00821D06">
            <w:pPr>
              <w:spacing w:after="0"/>
              <w:rPr>
                <w:sz w:val="18"/>
                <w:szCs w:val="18"/>
              </w:rPr>
            </w:pPr>
            <w:r w:rsidRPr="0018326A">
              <w:rPr>
                <w:color w:val="000000"/>
                <w:sz w:val="18"/>
                <w:szCs w:val="18"/>
              </w:rPr>
              <w:t>warunki ochrony dziedzictwa kulturowego i zabytków oraz dóbr kultury współczesnej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76BC8A1F" w14:textId="00882810" w:rsidR="00821D06" w:rsidRPr="0018326A" w:rsidRDefault="00821D06" w:rsidP="00821D06">
            <w:pPr>
              <w:rPr>
                <w:sz w:val="18"/>
                <w:szCs w:val="18"/>
              </w:rPr>
            </w:pPr>
            <w:r>
              <w:rPr>
                <w:sz w:val="18"/>
                <w:szCs w:val="18"/>
              </w:rPr>
              <w:t>Nie dotyczy</w:t>
            </w:r>
          </w:p>
        </w:tc>
      </w:tr>
      <w:tr w:rsidR="00821D06" w:rsidRPr="0018326A" w14:paraId="044714DE" w14:textId="77777777" w:rsidTr="00821D06">
        <w:trPr>
          <w:trHeight w:val="45"/>
          <w:tblCellSpacing w:w="0" w:type="auto"/>
        </w:trPr>
        <w:tc>
          <w:tcPr>
            <w:tcW w:w="3261" w:type="dxa"/>
            <w:vMerge/>
            <w:tcBorders>
              <w:top w:val="nil"/>
              <w:bottom w:val="single" w:sz="8" w:space="0" w:color="000000"/>
              <w:right w:val="single" w:sz="8" w:space="0" w:color="000000"/>
            </w:tcBorders>
          </w:tcPr>
          <w:p w14:paraId="7120CFB3"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2CD0C74" w14:textId="77777777" w:rsidR="00821D06" w:rsidRPr="0018326A" w:rsidRDefault="00821D06" w:rsidP="00821D06">
            <w:pPr>
              <w:spacing w:after="0"/>
              <w:rPr>
                <w:sz w:val="18"/>
                <w:szCs w:val="18"/>
              </w:rPr>
            </w:pPr>
            <w:r w:rsidRPr="0018326A">
              <w:rPr>
                <w:color w:val="000000"/>
                <w:sz w:val="18"/>
                <w:szCs w:val="18"/>
              </w:rPr>
              <w:t>wymagania dotyczące ochrony innych terenów lub obiektów podlegających ochronie na podstawie przepisów odrębnych</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F636C85" w14:textId="02759FCB" w:rsidR="00821D06" w:rsidRPr="00F84DF7" w:rsidRDefault="00821D06" w:rsidP="00821D06">
            <w:pPr>
              <w:rPr>
                <w:sz w:val="18"/>
                <w:szCs w:val="18"/>
              </w:rPr>
            </w:pPr>
            <w:r>
              <w:rPr>
                <w:sz w:val="18"/>
                <w:szCs w:val="18"/>
              </w:rPr>
              <w:t>Nie dotyczy</w:t>
            </w:r>
          </w:p>
        </w:tc>
      </w:tr>
      <w:tr w:rsidR="00821D06" w:rsidRPr="0018326A" w14:paraId="501666A4" w14:textId="77777777" w:rsidTr="00821D06">
        <w:trPr>
          <w:trHeight w:val="45"/>
          <w:tblCellSpacing w:w="0" w:type="auto"/>
        </w:trPr>
        <w:tc>
          <w:tcPr>
            <w:tcW w:w="3261" w:type="dxa"/>
            <w:vMerge/>
            <w:tcBorders>
              <w:top w:val="nil"/>
              <w:bottom w:val="single" w:sz="8" w:space="0" w:color="000000"/>
              <w:right w:val="single" w:sz="8" w:space="0" w:color="000000"/>
            </w:tcBorders>
          </w:tcPr>
          <w:p w14:paraId="35F8475D"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0D695E7" w14:textId="77777777" w:rsidR="00821D06" w:rsidRPr="0018326A" w:rsidRDefault="00821D06" w:rsidP="00821D06">
            <w:pPr>
              <w:spacing w:after="0"/>
              <w:rPr>
                <w:sz w:val="18"/>
                <w:szCs w:val="18"/>
              </w:rPr>
            </w:pPr>
            <w:r w:rsidRPr="0018326A">
              <w:rPr>
                <w:color w:val="000000"/>
                <w:sz w:val="18"/>
                <w:szCs w:val="18"/>
              </w:rPr>
              <w:t>warunki i szczegółowe zasady obsługi w zakresie komunikacji</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3416D9A" w14:textId="75E1FFB4" w:rsidR="00821D06" w:rsidRPr="0018326A" w:rsidRDefault="00821D06" w:rsidP="00821D06">
            <w:pPr>
              <w:rPr>
                <w:sz w:val="18"/>
                <w:szCs w:val="18"/>
              </w:rPr>
            </w:pPr>
            <w:r>
              <w:rPr>
                <w:sz w:val="18"/>
                <w:szCs w:val="18"/>
              </w:rPr>
              <w:t>Nie dotyczy</w:t>
            </w:r>
          </w:p>
        </w:tc>
      </w:tr>
      <w:tr w:rsidR="00821D06" w:rsidRPr="0018326A" w14:paraId="0D0A4E80" w14:textId="77777777" w:rsidTr="00821D06">
        <w:trPr>
          <w:trHeight w:val="45"/>
          <w:tblCellSpacing w:w="0" w:type="auto"/>
        </w:trPr>
        <w:tc>
          <w:tcPr>
            <w:tcW w:w="3261" w:type="dxa"/>
            <w:vMerge/>
            <w:tcBorders>
              <w:top w:val="nil"/>
              <w:bottom w:val="single" w:sz="8" w:space="0" w:color="000000"/>
              <w:right w:val="single" w:sz="8" w:space="0" w:color="000000"/>
            </w:tcBorders>
          </w:tcPr>
          <w:p w14:paraId="066C762D"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9FE5299" w14:textId="77777777" w:rsidR="00821D06" w:rsidRPr="0018326A" w:rsidRDefault="00821D06" w:rsidP="00821D06">
            <w:pPr>
              <w:spacing w:after="0"/>
              <w:rPr>
                <w:sz w:val="18"/>
                <w:szCs w:val="18"/>
              </w:rPr>
            </w:pPr>
            <w:r w:rsidRPr="0018326A">
              <w:rPr>
                <w:color w:val="000000"/>
                <w:sz w:val="18"/>
                <w:szCs w:val="18"/>
              </w:rPr>
              <w:t>warunki i szczegółowe zasady obsługi w zakresie infrastruktury technicznej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7CB37E89" w14:textId="7A1B8CA1" w:rsidR="00821D06" w:rsidRPr="0018326A" w:rsidRDefault="00821D06" w:rsidP="00821D06">
            <w:pPr>
              <w:rPr>
                <w:sz w:val="18"/>
                <w:szCs w:val="18"/>
              </w:rPr>
            </w:pPr>
            <w:r>
              <w:rPr>
                <w:sz w:val="18"/>
                <w:szCs w:val="18"/>
              </w:rPr>
              <w:t>Nie dotyczy</w:t>
            </w:r>
          </w:p>
        </w:tc>
      </w:tr>
      <w:tr w:rsidR="00821D06" w:rsidRPr="0018326A" w14:paraId="33BBA9F9" w14:textId="77777777" w:rsidTr="00821D06">
        <w:trPr>
          <w:trHeight w:val="45"/>
          <w:tblCellSpacing w:w="0" w:type="auto"/>
        </w:trPr>
        <w:tc>
          <w:tcPr>
            <w:tcW w:w="3261" w:type="dxa"/>
            <w:vMerge/>
            <w:tcBorders>
              <w:top w:val="nil"/>
              <w:bottom w:val="single" w:sz="8" w:space="0" w:color="000000"/>
              <w:right w:val="single" w:sz="8" w:space="0" w:color="000000"/>
            </w:tcBorders>
          </w:tcPr>
          <w:p w14:paraId="5F723A5F"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C363F5B" w14:textId="77777777" w:rsidR="00821D06" w:rsidRPr="0018326A" w:rsidRDefault="00821D06" w:rsidP="00821D06">
            <w:pPr>
              <w:spacing w:after="0"/>
              <w:rPr>
                <w:sz w:val="18"/>
                <w:szCs w:val="18"/>
              </w:rPr>
            </w:pPr>
            <w:r w:rsidRPr="0018326A">
              <w:rPr>
                <w:color w:val="000000"/>
                <w:sz w:val="18"/>
                <w:szCs w:val="18"/>
              </w:rPr>
              <w:t>minimalny udział procentowy powierzchni biologicznie czynnej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08294EAB" w14:textId="0DEF0097" w:rsidR="00821D06" w:rsidRPr="0018326A" w:rsidRDefault="00821D06" w:rsidP="00821D06">
            <w:pPr>
              <w:rPr>
                <w:sz w:val="18"/>
                <w:szCs w:val="18"/>
              </w:rPr>
            </w:pPr>
            <w:r>
              <w:rPr>
                <w:sz w:val="18"/>
                <w:szCs w:val="18"/>
              </w:rPr>
              <w:t>Nie dotyczy</w:t>
            </w:r>
          </w:p>
        </w:tc>
      </w:tr>
      <w:tr w:rsidR="00821D06" w:rsidRPr="0018326A" w14:paraId="568A8874" w14:textId="77777777" w:rsidTr="00821D06">
        <w:trPr>
          <w:trHeight w:val="45"/>
          <w:tblCellSpacing w:w="0" w:type="auto"/>
        </w:trPr>
        <w:tc>
          <w:tcPr>
            <w:tcW w:w="3261" w:type="dxa"/>
            <w:vMerge/>
            <w:tcBorders>
              <w:top w:val="nil"/>
              <w:bottom w:val="single" w:sz="8" w:space="0" w:color="000000"/>
              <w:right w:val="single" w:sz="8" w:space="0" w:color="000000"/>
            </w:tcBorders>
          </w:tcPr>
          <w:p w14:paraId="4174839C"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DE9BC75" w14:textId="77777777" w:rsidR="00821D06" w:rsidRPr="0018326A" w:rsidRDefault="00821D06" w:rsidP="00821D06">
            <w:pPr>
              <w:spacing w:after="0"/>
              <w:rPr>
                <w:sz w:val="18"/>
                <w:szCs w:val="18"/>
              </w:rPr>
            </w:pPr>
            <w:r w:rsidRPr="0018326A">
              <w:rPr>
                <w:color w:val="000000"/>
                <w:sz w:val="18"/>
                <w:szCs w:val="18"/>
              </w:rPr>
              <w:t>nadziemna intensywność zabudowy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7AEFA499" w14:textId="24F65D53" w:rsidR="00821D06" w:rsidRPr="0018326A" w:rsidRDefault="00821D06" w:rsidP="00821D06">
            <w:pPr>
              <w:rPr>
                <w:sz w:val="18"/>
                <w:szCs w:val="18"/>
              </w:rPr>
            </w:pPr>
            <w:r>
              <w:rPr>
                <w:sz w:val="18"/>
                <w:szCs w:val="18"/>
              </w:rPr>
              <w:t>Nie dotyczy</w:t>
            </w:r>
          </w:p>
        </w:tc>
      </w:tr>
      <w:tr w:rsidR="00821D06" w:rsidRPr="0018326A" w14:paraId="452B02A3" w14:textId="77777777" w:rsidTr="00821D06">
        <w:trPr>
          <w:trHeight w:val="45"/>
          <w:tblCellSpacing w:w="0" w:type="auto"/>
        </w:trPr>
        <w:tc>
          <w:tcPr>
            <w:tcW w:w="3261" w:type="dxa"/>
            <w:vMerge/>
            <w:tcBorders>
              <w:top w:val="nil"/>
              <w:bottom w:val="single" w:sz="8" w:space="0" w:color="000000"/>
              <w:right w:val="single" w:sz="8" w:space="0" w:color="000000"/>
            </w:tcBorders>
          </w:tcPr>
          <w:p w14:paraId="1BA1A22F"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2D7A8F6" w14:textId="77777777" w:rsidR="00821D06" w:rsidRPr="0018326A" w:rsidRDefault="00821D06" w:rsidP="00821D06">
            <w:pPr>
              <w:spacing w:after="0"/>
              <w:rPr>
                <w:sz w:val="18"/>
                <w:szCs w:val="18"/>
              </w:rPr>
            </w:pPr>
            <w:r w:rsidRPr="0018326A">
              <w:rPr>
                <w:color w:val="000000"/>
                <w:sz w:val="18"/>
                <w:szCs w:val="18"/>
              </w:rPr>
              <w:t>wysokość zabudowy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4679AE92" w14:textId="1A670309" w:rsidR="00821D06" w:rsidRPr="0018326A" w:rsidRDefault="00821D06" w:rsidP="00821D06">
            <w:pPr>
              <w:rPr>
                <w:sz w:val="18"/>
                <w:szCs w:val="18"/>
              </w:rPr>
            </w:pPr>
            <w:r>
              <w:rPr>
                <w:sz w:val="18"/>
                <w:szCs w:val="18"/>
              </w:rPr>
              <w:t>Nie dotyczy</w:t>
            </w:r>
          </w:p>
        </w:tc>
      </w:tr>
      <w:tr w:rsidR="00821D06" w:rsidRPr="0018326A" w14:paraId="26D4DFD8" w14:textId="77777777" w:rsidTr="00821D06">
        <w:trPr>
          <w:trHeight w:val="45"/>
          <w:tblCellSpacing w:w="0" w:type="auto"/>
        </w:trPr>
        <w:tc>
          <w:tcPr>
            <w:tcW w:w="3261" w:type="dxa"/>
            <w:vMerge w:val="restart"/>
            <w:tcBorders>
              <w:right w:val="single" w:sz="8" w:space="0" w:color="000000"/>
            </w:tcBorders>
            <w:tcMar>
              <w:top w:w="15" w:type="dxa"/>
              <w:left w:w="15" w:type="dxa"/>
              <w:bottom w:w="15" w:type="dxa"/>
              <w:right w:w="15" w:type="dxa"/>
            </w:tcMar>
            <w:vAlign w:val="center"/>
          </w:tcPr>
          <w:p w14:paraId="1E10FAC3" w14:textId="77777777" w:rsidR="00821D06" w:rsidRPr="007C504C" w:rsidRDefault="00821D06" w:rsidP="00821D06">
            <w:pPr>
              <w:spacing w:after="0"/>
              <w:rPr>
                <w:sz w:val="18"/>
                <w:szCs w:val="18"/>
              </w:rPr>
            </w:pPr>
            <w:r w:rsidRPr="007574FB">
              <w:rPr>
                <w:color w:val="000000"/>
                <w:sz w:val="18"/>
                <w:szCs w:val="18"/>
              </w:rPr>
              <w:t>Informacje dotyczące przewidzianych inwestycji w promieniu 1 km od terenu objętego przedsięwzięciem deweloperskim lub zadaniem inwestycyjnym</w:t>
            </w:r>
            <w:r w:rsidRPr="007574FB">
              <w:rPr>
                <w:color w:val="000000"/>
                <w:sz w:val="18"/>
                <w:szCs w:val="18"/>
                <w:vertAlign w:val="superscript"/>
              </w:rPr>
              <w:t>6</w:t>
            </w:r>
            <w:r w:rsidRPr="007574FB">
              <w:rPr>
                <w:color w:val="000000"/>
                <w:sz w:val="18"/>
                <w:szCs w:val="18"/>
              </w:rPr>
              <w:t>), zawarte w:</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C70D2A0" w14:textId="77777777" w:rsidR="00821D06" w:rsidRPr="007C504C" w:rsidRDefault="00821D06" w:rsidP="00821D06">
            <w:pPr>
              <w:spacing w:after="0"/>
              <w:rPr>
                <w:sz w:val="18"/>
                <w:szCs w:val="18"/>
              </w:rPr>
            </w:pPr>
            <w:r w:rsidRPr="007C504C">
              <w:rPr>
                <w:color w:val="000000"/>
                <w:sz w:val="18"/>
                <w:szCs w:val="18"/>
              </w:rPr>
              <w:t>miejscowych planach zagospodarowania przestrzennego</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F4CF80C" w14:textId="3F91DBBB" w:rsidR="00821D06" w:rsidRPr="0018326A" w:rsidRDefault="001128EF" w:rsidP="00821D06">
            <w:pPr>
              <w:rPr>
                <w:sz w:val="18"/>
                <w:szCs w:val="18"/>
              </w:rPr>
            </w:pPr>
            <w:r>
              <w:rPr>
                <w:sz w:val="18"/>
                <w:szCs w:val="18"/>
              </w:rPr>
              <w:t>Nie dotyczy</w:t>
            </w:r>
          </w:p>
        </w:tc>
      </w:tr>
      <w:tr w:rsidR="00821D06" w:rsidRPr="0018326A" w14:paraId="3483D804" w14:textId="77777777" w:rsidTr="00821D06">
        <w:trPr>
          <w:trHeight w:val="45"/>
          <w:tblCellSpacing w:w="0" w:type="auto"/>
        </w:trPr>
        <w:tc>
          <w:tcPr>
            <w:tcW w:w="3261" w:type="dxa"/>
            <w:vMerge/>
            <w:tcBorders>
              <w:right w:val="single" w:sz="8" w:space="0" w:color="000000"/>
            </w:tcBorders>
          </w:tcPr>
          <w:p w14:paraId="4F9C2222" w14:textId="77777777" w:rsidR="00821D06" w:rsidRPr="007C504C"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3D642D3" w14:textId="77777777" w:rsidR="00821D06" w:rsidRPr="007C504C" w:rsidRDefault="00821D06" w:rsidP="00821D06">
            <w:pPr>
              <w:spacing w:after="0"/>
              <w:rPr>
                <w:sz w:val="18"/>
                <w:szCs w:val="18"/>
              </w:rPr>
            </w:pPr>
            <w:r w:rsidRPr="007C504C">
              <w:rPr>
                <w:color w:val="000000"/>
                <w:sz w:val="18"/>
                <w:szCs w:val="18"/>
              </w:rPr>
              <w:t>decyzjach o warunkach zabudowy i zagospodarowania terenu</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35235A0" w14:textId="7FAFAF3C" w:rsidR="00821D06" w:rsidRDefault="001128EF" w:rsidP="007C504C">
            <w:pPr>
              <w:rPr>
                <w:sz w:val="18"/>
                <w:szCs w:val="18"/>
              </w:rPr>
            </w:pPr>
            <w:r>
              <w:rPr>
                <w:sz w:val="18"/>
                <w:szCs w:val="18"/>
              </w:rPr>
              <w:t xml:space="preserve">„Budowa osiedla budynków mieszkalno-usługowych z garażami podziemnymi i niezbędną infrastrukturą techniczną” realizowanego na dz. nr 1971 obręb 0016 Straszyn – </w:t>
            </w:r>
            <w:proofErr w:type="spellStart"/>
            <w:r>
              <w:rPr>
                <w:sz w:val="18"/>
                <w:szCs w:val="18"/>
              </w:rPr>
              <w:t>dec</w:t>
            </w:r>
            <w:proofErr w:type="spellEnd"/>
            <w:r>
              <w:rPr>
                <w:sz w:val="18"/>
                <w:szCs w:val="18"/>
              </w:rPr>
              <w:t>. z dnia 31.01.2024 r., znak GK.6220.2.16.2023.OŚ1/8</w:t>
            </w:r>
          </w:p>
          <w:p w14:paraId="183B4D82" w14:textId="77777777" w:rsidR="001128EF" w:rsidRDefault="001128EF" w:rsidP="007C504C">
            <w:pPr>
              <w:rPr>
                <w:sz w:val="18"/>
                <w:szCs w:val="18"/>
              </w:rPr>
            </w:pPr>
            <w:r>
              <w:rPr>
                <w:sz w:val="18"/>
                <w:szCs w:val="18"/>
              </w:rPr>
              <w:t xml:space="preserve">„Budowa zespołu zabudowy mieszkaniowej wielorodzinnej i jednorodzinnej wraz z niezbędną infrastrukturą techniczną w miejscowości Arciszewo, dz. nr 34/62, 34/81,331,33/2,111,112/1,115/1, obręb 0016 Straszyn, w gminie Pruszcz Gdański” – </w:t>
            </w:r>
            <w:proofErr w:type="spellStart"/>
            <w:r>
              <w:rPr>
                <w:sz w:val="18"/>
                <w:szCs w:val="18"/>
              </w:rPr>
              <w:t>dec</w:t>
            </w:r>
            <w:proofErr w:type="spellEnd"/>
            <w:r>
              <w:rPr>
                <w:sz w:val="18"/>
                <w:szCs w:val="18"/>
              </w:rPr>
              <w:t>. z dnia 16 sierpnia 2022 r., znak GK.6220.2.6.2022.OŚ1/5</w:t>
            </w:r>
          </w:p>
          <w:p w14:paraId="3DCE75A4" w14:textId="473ECE5E" w:rsidR="001128EF" w:rsidRPr="0018326A" w:rsidRDefault="001128EF" w:rsidP="007C504C">
            <w:pPr>
              <w:rPr>
                <w:sz w:val="18"/>
                <w:szCs w:val="18"/>
              </w:rPr>
            </w:pPr>
            <w:r>
              <w:rPr>
                <w:sz w:val="18"/>
                <w:szCs w:val="18"/>
              </w:rPr>
              <w:t xml:space="preserve">„Zespół budynków mieszkalnych wielorodzinnych z lokalami usługowymi realizowanego na działkach nr </w:t>
            </w:r>
            <w:proofErr w:type="spellStart"/>
            <w:r>
              <w:rPr>
                <w:sz w:val="18"/>
                <w:szCs w:val="18"/>
              </w:rPr>
              <w:t>ewid</w:t>
            </w:r>
            <w:proofErr w:type="spellEnd"/>
            <w:r>
              <w:rPr>
                <w:sz w:val="18"/>
                <w:szCs w:val="18"/>
              </w:rPr>
              <w:t xml:space="preserve">. 213/10, 213/16, 213/20, 213/21, 213/39, 213/41 obręb 0016 Straszyn” – </w:t>
            </w:r>
            <w:proofErr w:type="spellStart"/>
            <w:r>
              <w:rPr>
                <w:sz w:val="18"/>
                <w:szCs w:val="18"/>
              </w:rPr>
              <w:t>dec</w:t>
            </w:r>
            <w:proofErr w:type="spellEnd"/>
            <w:r>
              <w:rPr>
                <w:sz w:val="18"/>
                <w:szCs w:val="18"/>
              </w:rPr>
              <w:t>. z dnia 24.01.2022 r., znak GK6220.2.5.2021.OŚ1/8</w:t>
            </w:r>
          </w:p>
        </w:tc>
      </w:tr>
      <w:tr w:rsidR="00821D06" w:rsidRPr="0018326A" w14:paraId="61FB75B9" w14:textId="77777777" w:rsidTr="00821D06">
        <w:trPr>
          <w:trHeight w:val="45"/>
          <w:tblCellSpacing w:w="0" w:type="auto"/>
        </w:trPr>
        <w:tc>
          <w:tcPr>
            <w:tcW w:w="3261" w:type="dxa"/>
            <w:vMerge/>
            <w:tcBorders>
              <w:right w:val="single" w:sz="8" w:space="0" w:color="000000"/>
            </w:tcBorders>
          </w:tcPr>
          <w:p w14:paraId="4102D736"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5071094" w14:textId="77777777" w:rsidR="00821D06" w:rsidRPr="0018326A" w:rsidRDefault="00821D06" w:rsidP="00821D06">
            <w:pPr>
              <w:spacing w:after="0"/>
              <w:rPr>
                <w:sz w:val="18"/>
                <w:szCs w:val="18"/>
              </w:rPr>
            </w:pPr>
            <w:r w:rsidRPr="0018326A">
              <w:rPr>
                <w:color w:val="000000"/>
                <w:sz w:val="18"/>
                <w:szCs w:val="18"/>
              </w:rPr>
              <w:t>decyzjach o środowiskowych uwarunkowaniach</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B13CF11" w14:textId="1866919F" w:rsidR="00821D06" w:rsidRPr="0018326A" w:rsidRDefault="001128EF" w:rsidP="00821D06">
            <w:pPr>
              <w:rPr>
                <w:sz w:val="18"/>
                <w:szCs w:val="18"/>
              </w:rPr>
            </w:pPr>
            <w:r>
              <w:rPr>
                <w:sz w:val="18"/>
                <w:szCs w:val="18"/>
              </w:rPr>
              <w:t>Nie dotyczy</w:t>
            </w:r>
          </w:p>
        </w:tc>
      </w:tr>
      <w:tr w:rsidR="00821D06" w:rsidRPr="0018326A" w14:paraId="29E0982B" w14:textId="77777777" w:rsidTr="00821D06">
        <w:trPr>
          <w:trHeight w:val="45"/>
          <w:tblCellSpacing w:w="0" w:type="auto"/>
        </w:trPr>
        <w:tc>
          <w:tcPr>
            <w:tcW w:w="3261" w:type="dxa"/>
            <w:vMerge/>
            <w:tcBorders>
              <w:right w:val="single" w:sz="8" w:space="0" w:color="000000"/>
            </w:tcBorders>
          </w:tcPr>
          <w:p w14:paraId="06E01D0B"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EC6D283" w14:textId="77777777" w:rsidR="00821D06" w:rsidRPr="0018326A" w:rsidRDefault="00821D06" w:rsidP="00821D06">
            <w:pPr>
              <w:spacing w:after="0"/>
              <w:rPr>
                <w:sz w:val="18"/>
                <w:szCs w:val="18"/>
              </w:rPr>
            </w:pPr>
            <w:r w:rsidRPr="0018326A">
              <w:rPr>
                <w:color w:val="000000"/>
                <w:sz w:val="18"/>
                <w:szCs w:val="18"/>
              </w:rPr>
              <w:t>uchwałach o obszarach ograniczonego użytkowania</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0C86C92E" w14:textId="421727D5" w:rsidR="00821D06" w:rsidRPr="0018326A" w:rsidRDefault="001128EF" w:rsidP="00821D06">
            <w:pPr>
              <w:rPr>
                <w:sz w:val="18"/>
                <w:szCs w:val="18"/>
              </w:rPr>
            </w:pPr>
            <w:r>
              <w:rPr>
                <w:sz w:val="18"/>
                <w:szCs w:val="18"/>
              </w:rPr>
              <w:t>Nie dotyczy</w:t>
            </w:r>
          </w:p>
        </w:tc>
      </w:tr>
      <w:tr w:rsidR="00821D06" w:rsidRPr="0018326A" w14:paraId="31DA952A" w14:textId="77777777" w:rsidTr="00821D06">
        <w:trPr>
          <w:trHeight w:val="45"/>
          <w:tblCellSpacing w:w="0" w:type="auto"/>
        </w:trPr>
        <w:tc>
          <w:tcPr>
            <w:tcW w:w="3261" w:type="dxa"/>
            <w:vMerge/>
            <w:tcBorders>
              <w:right w:val="single" w:sz="8" w:space="0" w:color="000000"/>
            </w:tcBorders>
          </w:tcPr>
          <w:p w14:paraId="283A74C7"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59EB0E3" w14:textId="77777777" w:rsidR="00821D06" w:rsidRPr="0018326A" w:rsidRDefault="00821D06" w:rsidP="00821D06">
            <w:pPr>
              <w:spacing w:after="0"/>
              <w:rPr>
                <w:sz w:val="18"/>
                <w:szCs w:val="18"/>
              </w:rPr>
            </w:pPr>
            <w:r w:rsidRPr="0018326A">
              <w:rPr>
                <w:color w:val="000000"/>
                <w:sz w:val="18"/>
                <w:szCs w:val="18"/>
              </w:rPr>
              <w:t>miejscowych planach odbudowy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3F4CFF5" w14:textId="08635AE8" w:rsidR="00821D06" w:rsidRPr="0018326A" w:rsidRDefault="001128EF" w:rsidP="00821D06">
            <w:pPr>
              <w:rPr>
                <w:sz w:val="18"/>
                <w:szCs w:val="18"/>
              </w:rPr>
            </w:pPr>
            <w:r>
              <w:rPr>
                <w:sz w:val="18"/>
                <w:szCs w:val="18"/>
              </w:rPr>
              <w:t>Nie dotyczy</w:t>
            </w:r>
          </w:p>
        </w:tc>
      </w:tr>
      <w:tr w:rsidR="00821D06" w:rsidRPr="0018326A" w14:paraId="5E4DFB3B" w14:textId="77777777" w:rsidTr="00821D06">
        <w:trPr>
          <w:trHeight w:val="45"/>
          <w:tblCellSpacing w:w="0" w:type="auto"/>
        </w:trPr>
        <w:tc>
          <w:tcPr>
            <w:tcW w:w="3261" w:type="dxa"/>
            <w:vMerge/>
            <w:tcBorders>
              <w:right w:val="single" w:sz="8" w:space="0" w:color="000000"/>
            </w:tcBorders>
          </w:tcPr>
          <w:p w14:paraId="299937B6"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5FB1795" w14:textId="77777777" w:rsidR="00821D06" w:rsidRPr="0018326A" w:rsidRDefault="00821D06" w:rsidP="00821D06">
            <w:pPr>
              <w:spacing w:after="0"/>
              <w:rPr>
                <w:sz w:val="18"/>
                <w:szCs w:val="18"/>
              </w:rPr>
            </w:pPr>
            <w:r w:rsidRPr="0018326A">
              <w:rPr>
                <w:color w:val="000000"/>
                <w:sz w:val="18"/>
                <w:szCs w:val="18"/>
              </w:rPr>
              <w:t>mapach zagrożenia powodziowego i mapach ryzyka powodziowego</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3CC4A07F" w14:textId="655754CF" w:rsidR="00821D06" w:rsidRPr="0018326A" w:rsidRDefault="001128EF" w:rsidP="00821D06">
            <w:pPr>
              <w:rPr>
                <w:sz w:val="18"/>
                <w:szCs w:val="18"/>
              </w:rPr>
            </w:pPr>
            <w:r>
              <w:rPr>
                <w:sz w:val="18"/>
                <w:szCs w:val="18"/>
              </w:rPr>
              <w:t>Nie dotyczy</w:t>
            </w:r>
          </w:p>
        </w:tc>
      </w:tr>
      <w:tr w:rsidR="00821D06" w:rsidRPr="0018326A" w14:paraId="4F78634F" w14:textId="77777777" w:rsidTr="0018326A">
        <w:trPr>
          <w:trHeight w:val="45"/>
          <w:tblCellSpacing w:w="0" w:type="auto"/>
        </w:trPr>
        <w:tc>
          <w:tcPr>
            <w:tcW w:w="3261" w:type="dxa"/>
            <w:vMerge/>
            <w:tcBorders>
              <w:right w:val="single" w:sz="8" w:space="0" w:color="000000"/>
            </w:tcBorders>
          </w:tcPr>
          <w:p w14:paraId="70ABF121" w14:textId="77777777" w:rsidR="00821D06" w:rsidRPr="0018326A" w:rsidRDefault="00821D06" w:rsidP="00821D06">
            <w:pPr>
              <w:rPr>
                <w:sz w:val="18"/>
                <w:szCs w:val="18"/>
              </w:rPr>
            </w:pP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0F4E7202" w14:textId="77777777" w:rsidR="00821D06" w:rsidRPr="0018326A" w:rsidRDefault="00821D06" w:rsidP="00821D06">
            <w:pPr>
              <w:spacing w:after="0"/>
              <w:rPr>
                <w:sz w:val="18"/>
                <w:szCs w:val="18"/>
              </w:rPr>
            </w:pPr>
            <w:r w:rsidRPr="0018326A">
              <w:rPr>
                <w:color w:val="000000"/>
                <w:sz w:val="18"/>
                <w:szCs w:val="18"/>
              </w:rPr>
              <w:t>Ustalenia decyzji w zakresie rozmieszczenia inwestycji celu publicznego, mogące mieć znaczenie dla terenu objętego przedsięwzięciem deweloperskim lub zadaniem inwestycyjnym:</w:t>
            </w:r>
          </w:p>
        </w:tc>
      </w:tr>
      <w:tr w:rsidR="00821D06" w:rsidRPr="0018326A" w14:paraId="53108934" w14:textId="77777777" w:rsidTr="00821D06">
        <w:trPr>
          <w:trHeight w:val="45"/>
          <w:tblCellSpacing w:w="0" w:type="auto"/>
        </w:trPr>
        <w:tc>
          <w:tcPr>
            <w:tcW w:w="3261" w:type="dxa"/>
            <w:vMerge/>
            <w:tcBorders>
              <w:right w:val="single" w:sz="8" w:space="0" w:color="000000"/>
            </w:tcBorders>
          </w:tcPr>
          <w:p w14:paraId="5886AA76"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14645C3" w14:textId="77777777" w:rsidR="00821D06" w:rsidRPr="0018326A" w:rsidRDefault="00821D06" w:rsidP="00821D06">
            <w:pPr>
              <w:spacing w:after="0"/>
              <w:rPr>
                <w:sz w:val="18"/>
                <w:szCs w:val="18"/>
              </w:rPr>
            </w:pPr>
            <w:r w:rsidRPr="0018326A">
              <w:rPr>
                <w:color w:val="000000"/>
                <w:sz w:val="18"/>
                <w:szCs w:val="18"/>
              </w:rPr>
              <w:t>decyzja o zezwoleniu na realizację inwestycji drogowej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658D60F" w14:textId="77777777" w:rsidR="00821D06" w:rsidRDefault="007C504C" w:rsidP="007C504C">
            <w:pPr>
              <w:rPr>
                <w:sz w:val="18"/>
                <w:szCs w:val="18"/>
              </w:rPr>
            </w:pPr>
            <w:r>
              <w:rPr>
                <w:sz w:val="18"/>
                <w:szCs w:val="18"/>
              </w:rPr>
              <w:t xml:space="preserve">„Rozbudowa drogi wojewódzkiej nr 222 na odcinku Straszyn-Żuława” – </w:t>
            </w:r>
            <w:proofErr w:type="spellStart"/>
            <w:r>
              <w:rPr>
                <w:sz w:val="18"/>
                <w:szCs w:val="18"/>
              </w:rPr>
              <w:t>dec</w:t>
            </w:r>
            <w:proofErr w:type="spellEnd"/>
            <w:r>
              <w:rPr>
                <w:sz w:val="18"/>
                <w:szCs w:val="18"/>
              </w:rPr>
              <w:t>. z dnia 05.10.2015., znak OŚ1.6220.3.2015.26</w:t>
            </w:r>
          </w:p>
          <w:p w14:paraId="3FEF1BF6" w14:textId="5A837514" w:rsidR="007C504C" w:rsidRPr="0018326A" w:rsidRDefault="007C504C" w:rsidP="007C504C">
            <w:pPr>
              <w:rPr>
                <w:sz w:val="18"/>
                <w:szCs w:val="18"/>
              </w:rPr>
            </w:pPr>
            <w:r>
              <w:rPr>
                <w:sz w:val="18"/>
                <w:szCs w:val="18"/>
              </w:rPr>
              <w:t xml:space="preserve">„Budowa ulicy KD przy ulicy Bocznej w Straszynie gm. Pruszcz Gdański wraz z murami oporowymi, dz. nr 109/18, 109/20, 110/5, obręb 0016 Straszyn” – </w:t>
            </w:r>
            <w:proofErr w:type="spellStart"/>
            <w:r>
              <w:rPr>
                <w:sz w:val="18"/>
                <w:szCs w:val="18"/>
              </w:rPr>
              <w:t>dec</w:t>
            </w:r>
            <w:proofErr w:type="spellEnd"/>
            <w:r>
              <w:rPr>
                <w:sz w:val="18"/>
                <w:szCs w:val="18"/>
              </w:rPr>
              <w:t>. z dnia 27.03.2024r. numer 307/2024</w:t>
            </w:r>
          </w:p>
        </w:tc>
      </w:tr>
      <w:tr w:rsidR="00821D06" w:rsidRPr="0018326A" w14:paraId="7912D9B9" w14:textId="77777777" w:rsidTr="00821D06">
        <w:trPr>
          <w:trHeight w:val="45"/>
          <w:tblCellSpacing w:w="0" w:type="auto"/>
        </w:trPr>
        <w:tc>
          <w:tcPr>
            <w:tcW w:w="3261" w:type="dxa"/>
            <w:vMerge/>
            <w:tcBorders>
              <w:right w:val="single" w:sz="8" w:space="0" w:color="000000"/>
            </w:tcBorders>
          </w:tcPr>
          <w:p w14:paraId="3C6C6BC1"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266E991E" w14:textId="77777777" w:rsidR="00821D06" w:rsidRPr="0018326A" w:rsidRDefault="00821D06" w:rsidP="00821D06">
            <w:pPr>
              <w:spacing w:after="0"/>
              <w:rPr>
                <w:sz w:val="18"/>
                <w:szCs w:val="18"/>
              </w:rPr>
            </w:pPr>
            <w:r w:rsidRPr="0018326A">
              <w:rPr>
                <w:color w:val="000000"/>
                <w:sz w:val="18"/>
                <w:szCs w:val="18"/>
              </w:rPr>
              <w:t>decyzja o ustaleniu lokalizacji linii kolejowej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7BF4CABE" w14:textId="1E95B7B2" w:rsidR="00821D06" w:rsidRPr="0018326A" w:rsidRDefault="007C504C" w:rsidP="00821D06">
            <w:pPr>
              <w:rPr>
                <w:b/>
                <w:bCs/>
                <w:sz w:val="18"/>
                <w:szCs w:val="18"/>
              </w:rPr>
            </w:pPr>
            <w:r>
              <w:rPr>
                <w:sz w:val="18"/>
                <w:szCs w:val="18"/>
              </w:rPr>
              <w:t>Nie dotyczy</w:t>
            </w:r>
          </w:p>
        </w:tc>
      </w:tr>
      <w:tr w:rsidR="00821D06" w:rsidRPr="0018326A" w14:paraId="702F85C3" w14:textId="77777777" w:rsidTr="00821D06">
        <w:trPr>
          <w:trHeight w:val="45"/>
          <w:tblCellSpacing w:w="0" w:type="auto"/>
        </w:trPr>
        <w:tc>
          <w:tcPr>
            <w:tcW w:w="3261" w:type="dxa"/>
            <w:vMerge/>
            <w:tcBorders>
              <w:right w:val="single" w:sz="8" w:space="0" w:color="000000"/>
            </w:tcBorders>
          </w:tcPr>
          <w:p w14:paraId="63379467"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645198B" w14:textId="77777777" w:rsidR="00821D06" w:rsidRPr="0018326A" w:rsidRDefault="00821D06" w:rsidP="00821D06">
            <w:pPr>
              <w:spacing w:after="0"/>
              <w:rPr>
                <w:sz w:val="18"/>
                <w:szCs w:val="18"/>
              </w:rPr>
            </w:pPr>
            <w:r w:rsidRPr="0018326A">
              <w:rPr>
                <w:color w:val="000000"/>
                <w:sz w:val="18"/>
                <w:szCs w:val="18"/>
              </w:rPr>
              <w:t>decyzja o zezwoleniu na realizację inwestycji w zakresie lotniska użytku publicznego</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03F1D971" w14:textId="01A98B40" w:rsidR="00821D06" w:rsidRPr="0018326A" w:rsidRDefault="007C504C" w:rsidP="00821D06">
            <w:pPr>
              <w:rPr>
                <w:sz w:val="18"/>
                <w:szCs w:val="18"/>
              </w:rPr>
            </w:pPr>
            <w:r>
              <w:rPr>
                <w:sz w:val="18"/>
                <w:szCs w:val="18"/>
              </w:rPr>
              <w:t>Nie dotyczy</w:t>
            </w:r>
          </w:p>
        </w:tc>
      </w:tr>
      <w:tr w:rsidR="00821D06" w:rsidRPr="0018326A" w14:paraId="17EC0D06" w14:textId="77777777" w:rsidTr="00821D06">
        <w:trPr>
          <w:trHeight w:val="45"/>
          <w:tblCellSpacing w:w="0" w:type="auto"/>
        </w:trPr>
        <w:tc>
          <w:tcPr>
            <w:tcW w:w="3261" w:type="dxa"/>
            <w:vMerge/>
            <w:tcBorders>
              <w:right w:val="single" w:sz="8" w:space="0" w:color="000000"/>
            </w:tcBorders>
          </w:tcPr>
          <w:p w14:paraId="6A2B6F24"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F53A819" w14:textId="77777777" w:rsidR="00821D06" w:rsidRPr="0018326A" w:rsidRDefault="00821D06" w:rsidP="00821D06">
            <w:pPr>
              <w:spacing w:after="0"/>
              <w:rPr>
                <w:sz w:val="18"/>
                <w:szCs w:val="18"/>
              </w:rPr>
            </w:pPr>
            <w:r w:rsidRPr="0018326A">
              <w:rPr>
                <w:color w:val="000000"/>
                <w:sz w:val="18"/>
                <w:szCs w:val="18"/>
              </w:rPr>
              <w:t>decyzja o pozwoleniu na realizację inwestycji w zakresie budowli przeciwpowodziowych</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67648FC3" w14:textId="21937464" w:rsidR="00821D06" w:rsidRPr="0018326A" w:rsidRDefault="007C504C" w:rsidP="00821D06">
            <w:pPr>
              <w:rPr>
                <w:sz w:val="18"/>
                <w:szCs w:val="18"/>
              </w:rPr>
            </w:pPr>
            <w:r>
              <w:rPr>
                <w:sz w:val="18"/>
                <w:szCs w:val="18"/>
              </w:rPr>
              <w:t>Nie dotyczy</w:t>
            </w:r>
          </w:p>
        </w:tc>
      </w:tr>
      <w:tr w:rsidR="00821D06" w:rsidRPr="0018326A" w14:paraId="04A065EB" w14:textId="77777777" w:rsidTr="00821D06">
        <w:trPr>
          <w:trHeight w:val="45"/>
          <w:tblCellSpacing w:w="0" w:type="auto"/>
        </w:trPr>
        <w:tc>
          <w:tcPr>
            <w:tcW w:w="3261" w:type="dxa"/>
            <w:vMerge/>
            <w:tcBorders>
              <w:right w:val="single" w:sz="8" w:space="0" w:color="000000"/>
            </w:tcBorders>
          </w:tcPr>
          <w:p w14:paraId="55BC6935"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81D01C7" w14:textId="77777777" w:rsidR="00821D06" w:rsidRPr="0018326A" w:rsidRDefault="00821D06" w:rsidP="00821D06">
            <w:pPr>
              <w:spacing w:after="0"/>
              <w:rPr>
                <w:sz w:val="18"/>
                <w:szCs w:val="18"/>
              </w:rPr>
            </w:pPr>
            <w:r w:rsidRPr="0018326A">
              <w:rPr>
                <w:color w:val="000000"/>
                <w:sz w:val="18"/>
                <w:szCs w:val="18"/>
              </w:rPr>
              <w:t>decyzja o ustaleniu lokalizacji inwestycji w zakresie budowy obiektu energetyki jądrowej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4BD9FBDF" w14:textId="146A5A08" w:rsidR="00821D06" w:rsidRPr="0018326A" w:rsidRDefault="007C504C" w:rsidP="00821D06">
            <w:pPr>
              <w:rPr>
                <w:sz w:val="18"/>
                <w:szCs w:val="18"/>
              </w:rPr>
            </w:pPr>
            <w:r>
              <w:rPr>
                <w:sz w:val="18"/>
                <w:szCs w:val="18"/>
              </w:rPr>
              <w:t>Nie dotyczy</w:t>
            </w:r>
          </w:p>
        </w:tc>
      </w:tr>
      <w:tr w:rsidR="00821D06" w:rsidRPr="0018326A" w14:paraId="7D531F30" w14:textId="77777777" w:rsidTr="00821D06">
        <w:trPr>
          <w:trHeight w:val="45"/>
          <w:tblCellSpacing w:w="0" w:type="auto"/>
        </w:trPr>
        <w:tc>
          <w:tcPr>
            <w:tcW w:w="3261" w:type="dxa"/>
            <w:vMerge/>
            <w:tcBorders>
              <w:right w:val="single" w:sz="8" w:space="0" w:color="000000"/>
            </w:tcBorders>
          </w:tcPr>
          <w:p w14:paraId="18729BED"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FD4855F" w14:textId="77777777" w:rsidR="00821D06" w:rsidRPr="0018326A" w:rsidRDefault="00821D06" w:rsidP="00821D06">
            <w:pPr>
              <w:spacing w:after="0"/>
              <w:rPr>
                <w:sz w:val="18"/>
                <w:szCs w:val="18"/>
              </w:rPr>
            </w:pPr>
            <w:r w:rsidRPr="0018326A">
              <w:rPr>
                <w:color w:val="000000"/>
                <w:sz w:val="18"/>
                <w:szCs w:val="18"/>
              </w:rPr>
              <w:t>decyzja o ustaleniu lokalizacji strategicznej inwestycji w zakresie sieci przesyłowej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70D8925" w14:textId="3B8CA896" w:rsidR="00821D06" w:rsidRPr="0018326A" w:rsidRDefault="007C504C" w:rsidP="00821D06">
            <w:pPr>
              <w:rPr>
                <w:sz w:val="18"/>
                <w:szCs w:val="18"/>
              </w:rPr>
            </w:pPr>
            <w:r>
              <w:rPr>
                <w:sz w:val="18"/>
                <w:szCs w:val="18"/>
              </w:rPr>
              <w:t>Nie dotyczy</w:t>
            </w:r>
          </w:p>
        </w:tc>
      </w:tr>
      <w:tr w:rsidR="00821D06" w:rsidRPr="0018326A" w14:paraId="1BCFFC86" w14:textId="77777777" w:rsidTr="00821D06">
        <w:trPr>
          <w:trHeight w:val="45"/>
          <w:tblCellSpacing w:w="0" w:type="auto"/>
        </w:trPr>
        <w:tc>
          <w:tcPr>
            <w:tcW w:w="3261" w:type="dxa"/>
            <w:vMerge/>
            <w:tcBorders>
              <w:right w:val="single" w:sz="8" w:space="0" w:color="000000"/>
            </w:tcBorders>
          </w:tcPr>
          <w:p w14:paraId="78E070F7"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55AAFBC" w14:textId="77777777" w:rsidR="00821D06" w:rsidRPr="0018326A" w:rsidRDefault="00821D06" w:rsidP="00821D06">
            <w:pPr>
              <w:spacing w:after="0"/>
              <w:rPr>
                <w:sz w:val="18"/>
                <w:szCs w:val="18"/>
              </w:rPr>
            </w:pPr>
            <w:r w:rsidRPr="0018326A">
              <w:rPr>
                <w:color w:val="000000"/>
                <w:sz w:val="18"/>
                <w:szCs w:val="18"/>
              </w:rPr>
              <w:t>decyzja o ustaleniu lokalizacji regionalnej sieci szerokopasmowej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1314B0D1" w14:textId="157D49FF" w:rsidR="00821D06" w:rsidRPr="0018326A" w:rsidRDefault="007C504C" w:rsidP="00821D06">
            <w:pPr>
              <w:rPr>
                <w:sz w:val="18"/>
                <w:szCs w:val="18"/>
              </w:rPr>
            </w:pPr>
            <w:r>
              <w:rPr>
                <w:sz w:val="18"/>
                <w:szCs w:val="18"/>
              </w:rPr>
              <w:t>Nie dotyczy</w:t>
            </w:r>
          </w:p>
        </w:tc>
      </w:tr>
      <w:tr w:rsidR="00821D06" w:rsidRPr="0018326A" w14:paraId="7EE804D7" w14:textId="77777777" w:rsidTr="00821D06">
        <w:trPr>
          <w:trHeight w:val="45"/>
          <w:tblCellSpacing w:w="0" w:type="auto"/>
        </w:trPr>
        <w:tc>
          <w:tcPr>
            <w:tcW w:w="3261" w:type="dxa"/>
            <w:vMerge/>
            <w:tcBorders>
              <w:right w:val="single" w:sz="8" w:space="0" w:color="000000"/>
            </w:tcBorders>
          </w:tcPr>
          <w:p w14:paraId="151755CF"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B43915C" w14:textId="77777777" w:rsidR="00821D06" w:rsidRPr="0018326A" w:rsidRDefault="00821D06" w:rsidP="00821D06">
            <w:pPr>
              <w:spacing w:after="0"/>
              <w:rPr>
                <w:sz w:val="18"/>
                <w:szCs w:val="18"/>
              </w:rPr>
            </w:pPr>
            <w:r w:rsidRPr="0018326A">
              <w:rPr>
                <w:color w:val="000000"/>
                <w:sz w:val="18"/>
                <w:szCs w:val="18"/>
              </w:rPr>
              <w:t>decyzja o ustaleniu lokalizacji inwestycji w zakresie Centralnego Portu Komunikacyjnego</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2A2C41E0" w14:textId="6F648503" w:rsidR="00821D06" w:rsidRPr="0018326A" w:rsidRDefault="007C504C" w:rsidP="00821D06">
            <w:pPr>
              <w:rPr>
                <w:sz w:val="18"/>
                <w:szCs w:val="18"/>
              </w:rPr>
            </w:pPr>
            <w:r>
              <w:rPr>
                <w:sz w:val="18"/>
                <w:szCs w:val="18"/>
              </w:rPr>
              <w:t>Nie dotyczy</w:t>
            </w:r>
          </w:p>
        </w:tc>
      </w:tr>
      <w:tr w:rsidR="00821D06" w:rsidRPr="0018326A" w14:paraId="2571B2E3" w14:textId="77777777" w:rsidTr="00821D06">
        <w:trPr>
          <w:trHeight w:val="45"/>
          <w:tblCellSpacing w:w="0" w:type="auto"/>
        </w:trPr>
        <w:tc>
          <w:tcPr>
            <w:tcW w:w="3261" w:type="dxa"/>
            <w:vMerge/>
            <w:tcBorders>
              <w:right w:val="single" w:sz="8" w:space="0" w:color="000000"/>
            </w:tcBorders>
          </w:tcPr>
          <w:p w14:paraId="260E9D79"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19BBFE0E" w14:textId="77777777" w:rsidR="00821D06" w:rsidRPr="0018326A" w:rsidRDefault="00821D06" w:rsidP="00821D06">
            <w:pPr>
              <w:spacing w:after="0"/>
              <w:rPr>
                <w:sz w:val="18"/>
                <w:szCs w:val="18"/>
              </w:rPr>
            </w:pPr>
            <w:r w:rsidRPr="0018326A">
              <w:rPr>
                <w:color w:val="000000"/>
                <w:sz w:val="18"/>
                <w:szCs w:val="18"/>
              </w:rPr>
              <w:t>decyzja o zezwoleniu na realizację inwestycji w zakresie infrastruktury dostępowej</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C0E236B" w14:textId="3205F90E" w:rsidR="00821D06" w:rsidRPr="0018326A" w:rsidRDefault="007C504C" w:rsidP="00821D06">
            <w:pPr>
              <w:rPr>
                <w:sz w:val="18"/>
                <w:szCs w:val="18"/>
              </w:rPr>
            </w:pPr>
            <w:r>
              <w:rPr>
                <w:sz w:val="18"/>
                <w:szCs w:val="18"/>
              </w:rPr>
              <w:t>Nie dotyczy</w:t>
            </w:r>
          </w:p>
        </w:tc>
      </w:tr>
      <w:tr w:rsidR="00821D06" w:rsidRPr="0018326A" w14:paraId="3BC5B244" w14:textId="77777777" w:rsidTr="00821D06">
        <w:trPr>
          <w:trHeight w:val="1389"/>
          <w:tblCellSpacing w:w="0" w:type="auto"/>
        </w:trPr>
        <w:tc>
          <w:tcPr>
            <w:tcW w:w="3261" w:type="dxa"/>
            <w:vMerge/>
            <w:tcBorders>
              <w:right w:val="single" w:sz="8" w:space="0" w:color="000000"/>
            </w:tcBorders>
          </w:tcPr>
          <w:p w14:paraId="15E88157" w14:textId="77777777" w:rsidR="00821D06" w:rsidRPr="0018326A" w:rsidRDefault="00821D06" w:rsidP="00821D06">
            <w:pPr>
              <w:rPr>
                <w:sz w:val="18"/>
                <w:szCs w:val="18"/>
              </w:rPr>
            </w:pPr>
          </w:p>
        </w:tc>
        <w:tc>
          <w:tcPr>
            <w:tcW w:w="2977" w:type="dxa"/>
            <w:tcBorders>
              <w:right w:val="single" w:sz="8" w:space="0" w:color="000000"/>
            </w:tcBorders>
            <w:tcMar>
              <w:top w:w="15" w:type="dxa"/>
              <w:left w:w="15" w:type="dxa"/>
              <w:bottom w:w="15" w:type="dxa"/>
              <w:right w:w="15" w:type="dxa"/>
            </w:tcMar>
            <w:vAlign w:val="center"/>
          </w:tcPr>
          <w:p w14:paraId="13B6960A" w14:textId="77777777" w:rsidR="00821D06" w:rsidRPr="0018326A" w:rsidRDefault="00821D06" w:rsidP="00821D06">
            <w:pPr>
              <w:spacing w:after="0"/>
              <w:rPr>
                <w:sz w:val="18"/>
                <w:szCs w:val="18"/>
              </w:rPr>
            </w:pPr>
            <w:r w:rsidRPr="0018326A">
              <w:rPr>
                <w:color w:val="000000"/>
                <w:sz w:val="18"/>
                <w:szCs w:val="18"/>
              </w:rPr>
              <w:t>decyzja o ustaleniu lokalizacji strategicznej inwestycji w sektorze naftowym</w:t>
            </w:r>
          </w:p>
        </w:tc>
        <w:tc>
          <w:tcPr>
            <w:tcW w:w="4536" w:type="dxa"/>
            <w:tcBorders>
              <w:right w:val="single" w:sz="8" w:space="0" w:color="000000"/>
            </w:tcBorders>
            <w:tcMar>
              <w:top w:w="15" w:type="dxa"/>
              <w:left w:w="15" w:type="dxa"/>
              <w:bottom w:w="15" w:type="dxa"/>
              <w:right w:w="15" w:type="dxa"/>
            </w:tcMar>
            <w:vAlign w:val="center"/>
          </w:tcPr>
          <w:p w14:paraId="5EA6B048" w14:textId="6E864975" w:rsidR="00821D06" w:rsidRPr="0018326A" w:rsidRDefault="007C504C" w:rsidP="00821D06">
            <w:pPr>
              <w:rPr>
                <w:sz w:val="18"/>
                <w:szCs w:val="18"/>
              </w:rPr>
            </w:pPr>
            <w:r>
              <w:rPr>
                <w:sz w:val="18"/>
                <w:szCs w:val="18"/>
              </w:rPr>
              <w:t>Nie dotyczy</w:t>
            </w:r>
          </w:p>
        </w:tc>
      </w:tr>
      <w:tr w:rsidR="00821D06" w:rsidRPr="0018326A" w14:paraId="5E97F8EF" w14:textId="77777777" w:rsidTr="0018326A">
        <w:trPr>
          <w:trHeight w:val="45"/>
          <w:tblCellSpacing w:w="0" w:type="auto"/>
        </w:trPr>
        <w:tc>
          <w:tcPr>
            <w:tcW w:w="10774" w:type="dxa"/>
            <w:gridSpan w:val="3"/>
            <w:tcBorders>
              <w:top w:val="single" w:sz="4" w:space="0" w:color="auto"/>
              <w:bottom w:val="single" w:sz="8" w:space="0" w:color="000000"/>
              <w:right w:val="single" w:sz="8" w:space="0" w:color="000000"/>
            </w:tcBorders>
            <w:tcMar>
              <w:top w:w="15" w:type="dxa"/>
              <w:left w:w="15" w:type="dxa"/>
              <w:bottom w:w="15" w:type="dxa"/>
              <w:right w:w="15" w:type="dxa"/>
            </w:tcMar>
            <w:vAlign w:val="center"/>
          </w:tcPr>
          <w:p w14:paraId="63A8D248" w14:textId="77777777" w:rsidR="00821D06" w:rsidRPr="0018326A" w:rsidRDefault="00821D06" w:rsidP="00821D06">
            <w:pPr>
              <w:spacing w:after="0"/>
              <w:rPr>
                <w:sz w:val="18"/>
                <w:szCs w:val="18"/>
              </w:rPr>
            </w:pPr>
            <w:r w:rsidRPr="0018326A">
              <w:rPr>
                <w:b/>
                <w:color w:val="000000"/>
                <w:sz w:val="18"/>
                <w:szCs w:val="18"/>
              </w:rPr>
              <w:t>INFORMACJE DOTYCZĄCE BUDYNKU</w:t>
            </w:r>
          </w:p>
        </w:tc>
      </w:tr>
      <w:tr w:rsidR="00821D06" w:rsidRPr="0018326A" w14:paraId="6A3A08C1" w14:textId="77777777" w:rsidTr="00821D06">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0735CE6E" w14:textId="77777777" w:rsidR="00821D06" w:rsidRPr="0018326A" w:rsidRDefault="00821D06" w:rsidP="00821D06">
            <w:pPr>
              <w:spacing w:after="0"/>
              <w:rPr>
                <w:sz w:val="18"/>
                <w:szCs w:val="18"/>
              </w:rPr>
            </w:pPr>
            <w:r w:rsidRPr="0018326A">
              <w:rPr>
                <w:color w:val="000000"/>
                <w:sz w:val="18"/>
                <w:szCs w:val="18"/>
              </w:rPr>
              <w:t>Czy jest pozwolenie na budowę</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63D1120" w14:textId="31A15E44" w:rsidR="00821D06" w:rsidRPr="003E16E4" w:rsidRDefault="00821D06" w:rsidP="00821D06">
            <w:pPr>
              <w:spacing w:after="0"/>
              <w:jc w:val="center"/>
              <w:rPr>
                <w:sz w:val="18"/>
                <w:szCs w:val="18"/>
                <w:highlight w:val="yellow"/>
              </w:rPr>
            </w:pPr>
            <w:r w:rsidRPr="00F833BE">
              <w:rPr>
                <w:color w:val="000000"/>
                <w:sz w:val="18"/>
                <w:szCs w:val="18"/>
              </w:rPr>
              <w:t>tak</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FC6D72F" w14:textId="118C91F1" w:rsidR="00821D06" w:rsidRPr="00F833BE" w:rsidRDefault="00821D06" w:rsidP="00821D06">
            <w:pPr>
              <w:spacing w:after="0"/>
              <w:jc w:val="center"/>
              <w:rPr>
                <w:strike/>
                <w:sz w:val="18"/>
                <w:szCs w:val="18"/>
                <w:highlight w:val="yellow"/>
              </w:rPr>
            </w:pPr>
            <w:r w:rsidRPr="00F833BE">
              <w:rPr>
                <w:strike/>
                <w:color w:val="000000"/>
                <w:sz w:val="18"/>
                <w:szCs w:val="18"/>
              </w:rPr>
              <w:t>nie</w:t>
            </w:r>
          </w:p>
        </w:tc>
      </w:tr>
      <w:tr w:rsidR="00821D06" w:rsidRPr="0018326A" w14:paraId="2008A848" w14:textId="77777777" w:rsidTr="00821D06">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4F6EB66B" w14:textId="77777777" w:rsidR="00821D06" w:rsidRPr="0018326A" w:rsidRDefault="00821D06" w:rsidP="00821D06">
            <w:pPr>
              <w:spacing w:after="0"/>
              <w:rPr>
                <w:sz w:val="18"/>
                <w:szCs w:val="18"/>
              </w:rPr>
            </w:pPr>
            <w:r w:rsidRPr="0018326A">
              <w:rPr>
                <w:color w:val="000000"/>
                <w:sz w:val="18"/>
                <w:szCs w:val="18"/>
              </w:rPr>
              <w:t>Czy pozwolenie na budowę jest ostateczne</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5590CB2" w14:textId="1E96DC1E" w:rsidR="00821D06" w:rsidRPr="003E16E4" w:rsidRDefault="00821D06" w:rsidP="00821D06">
            <w:pPr>
              <w:spacing w:after="0"/>
              <w:jc w:val="center"/>
              <w:rPr>
                <w:sz w:val="18"/>
                <w:szCs w:val="18"/>
                <w:highlight w:val="yellow"/>
              </w:rPr>
            </w:pPr>
            <w:r w:rsidRPr="00F833BE">
              <w:rPr>
                <w:color w:val="000000"/>
                <w:sz w:val="18"/>
                <w:szCs w:val="18"/>
              </w:rPr>
              <w:t>tak</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24490319" w14:textId="72645F4A" w:rsidR="00821D06" w:rsidRPr="00F833BE" w:rsidRDefault="00821D06" w:rsidP="00821D06">
            <w:pPr>
              <w:spacing w:after="0"/>
              <w:jc w:val="center"/>
              <w:rPr>
                <w:strike/>
                <w:sz w:val="18"/>
                <w:szCs w:val="18"/>
                <w:highlight w:val="yellow"/>
              </w:rPr>
            </w:pPr>
            <w:r w:rsidRPr="00F833BE">
              <w:rPr>
                <w:strike/>
                <w:color w:val="000000"/>
                <w:sz w:val="18"/>
                <w:szCs w:val="18"/>
              </w:rPr>
              <w:t>nie</w:t>
            </w:r>
          </w:p>
        </w:tc>
      </w:tr>
      <w:tr w:rsidR="00821D06" w:rsidRPr="0018326A" w14:paraId="359E12BC" w14:textId="77777777" w:rsidTr="00821D06">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072C8F9A" w14:textId="77777777" w:rsidR="00821D06" w:rsidRPr="0018326A" w:rsidRDefault="00821D06" w:rsidP="00821D06">
            <w:pPr>
              <w:spacing w:after="0"/>
              <w:rPr>
                <w:sz w:val="18"/>
                <w:szCs w:val="18"/>
              </w:rPr>
            </w:pPr>
            <w:r w:rsidRPr="0018326A">
              <w:rPr>
                <w:color w:val="000000"/>
                <w:sz w:val="18"/>
                <w:szCs w:val="18"/>
              </w:rPr>
              <w:t>Czy pozwolenie na budowę jest zaskarżone</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538DB852" w14:textId="69EB8FC3" w:rsidR="00821D06" w:rsidRPr="00F833BE" w:rsidRDefault="00821D06" w:rsidP="00821D06">
            <w:pPr>
              <w:spacing w:after="0"/>
              <w:jc w:val="center"/>
              <w:rPr>
                <w:strike/>
                <w:sz w:val="18"/>
                <w:szCs w:val="18"/>
                <w:highlight w:val="yellow"/>
              </w:rPr>
            </w:pPr>
            <w:r w:rsidRPr="00F833BE">
              <w:rPr>
                <w:strike/>
                <w:color w:val="000000"/>
                <w:sz w:val="18"/>
                <w:szCs w:val="18"/>
              </w:rPr>
              <w:t>tak</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7EE51686" w14:textId="3F9765C5" w:rsidR="00821D06" w:rsidRPr="003E16E4" w:rsidRDefault="00821D06" w:rsidP="00821D06">
            <w:pPr>
              <w:spacing w:after="0"/>
              <w:jc w:val="center"/>
              <w:rPr>
                <w:sz w:val="18"/>
                <w:szCs w:val="18"/>
                <w:highlight w:val="yellow"/>
              </w:rPr>
            </w:pPr>
            <w:r w:rsidRPr="00F833BE">
              <w:rPr>
                <w:color w:val="000000"/>
                <w:sz w:val="18"/>
                <w:szCs w:val="18"/>
              </w:rPr>
              <w:t>nie</w:t>
            </w:r>
          </w:p>
        </w:tc>
      </w:tr>
      <w:tr w:rsidR="00821D06" w:rsidRPr="0018326A" w14:paraId="70F7F37F"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0C417A1C" w14:textId="77777777" w:rsidR="00821D06" w:rsidRPr="0018326A" w:rsidRDefault="00821D06" w:rsidP="00821D06">
            <w:pPr>
              <w:spacing w:after="0"/>
              <w:rPr>
                <w:sz w:val="18"/>
                <w:szCs w:val="18"/>
              </w:rPr>
            </w:pPr>
            <w:r w:rsidRPr="0018326A">
              <w:rPr>
                <w:color w:val="000000"/>
                <w:sz w:val="18"/>
                <w:szCs w:val="18"/>
              </w:rPr>
              <w:t>Numer pozwolenia na budowę oraz nazwa organu, który je wydał</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440F2570" w14:textId="77777777" w:rsidR="00821D06" w:rsidRDefault="009F586F" w:rsidP="009F586F">
            <w:pPr>
              <w:pStyle w:val="Akapitzlist"/>
              <w:numPr>
                <w:ilvl w:val="0"/>
                <w:numId w:val="48"/>
              </w:numPr>
              <w:ind w:left="406"/>
              <w:jc w:val="both"/>
              <w:rPr>
                <w:sz w:val="18"/>
                <w:szCs w:val="18"/>
              </w:rPr>
            </w:pPr>
            <w:r>
              <w:rPr>
                <w:sz w:val="18"/>
                <w:szCs w:val="18"/>
              </w:rPr>
              <w:t>d</w:t>
            </w:r>
            <w:r w:rsidR="00BA527C" w:rsidRPr="009F586F">
              <w:rPr>
                <w:sz w:val="18"/>
                <w:szCs w:val="18"/>
              </w:rPr>
              <w:t>ecyzja nr 443/2024, znak AB.6740.1247.2023.AL z dnia 30 kwietnia 2024 r.</w:t>
            </w:r>
            <w:r w:rsidR="00CB31E5" w:rsidRPr="009F586F">
              <w:rPr>
                <w:sz w:val="18"/>
                <w:szCs w:val="18"/>
              </w:rPr>
              <w:t xml:space="preserve"> wydana przez</w:t>
            </w:r>
            <w:r>
              <w:rPr>
                <w:sz w:val="18"/>
                <w:szCs w:val="18"/>
              </w:rPr>
              <w:t xml:space="preserve"> </w:t>
            </w:r>
            <w:r w:rsidR="00CB31E5" w:rsidRPr="009F586F">
              <w:rPr>
                <w:sz w:val="18"/>
                <w:szCs w:val="18"/>
              </w:rPr>
              <w:t>Starostę Gdańskiego</w:t>
            </w:r>
          </w:p>
          <w:p w14:paraId="46F64669" w14:textId="694F3D79" w:rsidR="009F586F" w:rsidRPr="009F586F" w:rsidRDefault="009F586F" w:rsidP="009F586F">
            <w:pPr>
              <w:pStyle w:val="Akapitzlist"/>
              <w:numPr>
                <w:ilvl w:val="0"/>
                <w:numId w:val="48"/>
              </w:numPr>
              <w:ind w:left="406"/>
              <w:jc w:val="both"/>
              <w:rPr>
                <w:sz w:val="18"/>
                <w:szCs w:val="18"/>
              </w:rPr>
            </w:pPr>
            <w:r>
              <w:rPr>
                <w:sz w:val="18"/>
                <w:szCs w:val="18"/>
              </w:rPr>
              <w:t>decyzja nr 907/2024, znak AB,6740.748.2024.AL z dnia 30 sierpnia 2024r. wydana przez Starostę Gdańskiego</w:t>
            </w:r>
          </w:p>
        </w:tc>
      </w:tr>
      <w:tr w:rsidR="00821D06" w:rsidRPr="0018326A" w14:paraId="114702BC"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734548AB" w14:textId="77777777" w:rsidR="00821D06" w:rsidRPr="0018326A" w:rsidRDefault="00821D06" w:rsidP="00821D06">
            <w:pPr>
              <w:spacing w:after="0"/>
              <w:rPr>
                <w:sz w:val="18"/>
                <w:szCs w:val="18"/>
              </w:rPr>
            </w:pPr>
            <w:r w:rsidRPr="0018326A">
              <w:rPr>
                <w:color w:val="000000"/>
                <w:sz w:val="18"/>
                <w:szCs w:val="18"/>
              </w:rPr>
              <w:t>Data uprawomocnienia się decyzji o pozwoleniu na użytkowanie budynku</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4401B9F0" w14:textId="7B68753D" w:rsidR="00821D06" w:rsidRPr="0018326A" w:rsidRDefault="00BA527C" w:rsidP="00821D06">
            <w:pPr>
              <w:jc w:val="center"/>
              <w:rPr>
                <w:sz w:val="18"/>
                <w:szCs w:val="18"/>
              </w:rPr>
            </w:pPr>
            <w:r>
              <w:rPr>
                <w:sz w:val="18"/>
                <w:szCs w:val="18"/>
              </w:rPr>
              <w:t>Nie dotyczy</w:t>
            </w:r>
          </w:p>
        </w:tc>
      </w:tr>
      <w:tr w:rsidR="00821D06" w:rsidRPr="0018326A" w14:paraId="63ED08E3"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6C4091E7" w14:textId="77777777" w:rsidR="00821D06" w:rsidRPr="0018326A" w:rsidRDefault="00821D06" w:rsidP="00821D06">
            <w:pPr>
              <w:spacing w:after="0"/>
              <w:rPr>
                <w:sz w:val="18"/>
                <w:szCs w:val="18"/>
              </w:rPr>
            </w:pPr>
            <w:r w:rsidRPr="0018326A">
              <w:rPr>
                <w:color w:val="000000"/>
                <w:sz w:val="18"/>
                <w:szCs w:val="18"/>
              </w:rPr>
              <w:lastRenderedPageBreak/>
              <w:t xml:space="preserve">Numer zgłoszenia budowy, o której mowa w </w:t>
            </w:r>
            <w:r w:rsidRPr="0018326A">
              <w:rPr>
                <w:color w:val="1B1B1B"/>
                <w:sz w:val="18"/>
                <w:szCs w:val="18"/>
              </w:rPr>
              <w:t>art. 29 ust. 1 pkt 1</w:t>
            </w:r>
            <w:r w:rsidRPr="0018326A">
              <w:rPr>
                <w:color w:val="000000"/>
                <w:sz w:val="18"/>
                <w:szCs w:val="18"/>
              </w:rPr>
              <w:t xml:space="preserve"> ustawy z dnia 7 lipca 1994 r. - Prawo budowlane (Dz. U. z 2021 r. poz. 2351, z </w:t>
            </w:r>
            <w:proofErr w:type="spellStart"/>
            <w:r w:rsidRPr="0018326A">
              <w:rPr>
                <w:color w:val="000000"/>
                <w:sz w:val="18"/>
                <w:szCs w:val="18"/>
              </w:rPr>
              <w:t>późn</w:t>
            </w:r>
            <w:proofErr w:type="spellEnd"/>
            <w:r w:rsidRPr="0018326A">
              <w:rPr>
                <w:color w:val="000000"/>
                <w:sz w:val="18"/>
                <w:szCs w:val="18"/>
              </w:rPr>
              <w:t>. zm.), oraz oznaczenie organu, do którego dokonano zgłoszenia, wraz z informacją o braku wniesienia sprzeciwu przez ten organ</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042A402F" w14:textId="1FDE0812" w:rsidR="00821D06" w:rsidRPr="0018326A" w:rsidRDefault="00BA527C" w:rsidP="00821D06">
            <w:pPr>
              <w:jc w:val="center"/>
              <w:rPr>
                <w:sz w:val="18"/>
                <w:szCs w:val="18"/>
              </w:rPr>
            </w:pPr>
            <w:r>
              <w:rPr>
                <w:sz w:val="18"/>
                <w:szCs w:val="18"/>
              </w:rPr>
              <w:t>Nie dotyczy</w:t>
            </w:r>
          </w:p>
        </w:tc>
      </w:tr>
      <w:tr w:rsidR="00821D06" w:rsidRPr="0018326A" w14:paraId="22069857"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177AE70D" w14:textId="77777777" w:rsidR="00821D06" w:rsidRPr="0018326A" w:rsidRDefault="00821D06" w:rsidP="00821D06">
            <w:pPr>
              <w:spacing w:after="0"/>
              <w:rPr>
                <w:sz w:val="18"/>
                <w:szCs w:val="18"/>
              </w:rPr>
            </w:pPr>
            <w:r w:rsidRPr="0018326A">
              <w:rPr>
                <w:color w:val="000000"/>
                <w:sz w:val="18"/>
                <w:szCs w:val="18"/>
              </w:rPr>
              <w:t>Data zakończenia budowy domu jednorodzinnego</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60FE977E" w14:textId="325B5976" w:rsidR="00821D06" w:rsidRPr="0018326A" w:rsidRDefault="00821D06" w:rsidP="00821D06">
            <w:pPr>
              <w:jc w:val="center"/>
              <w:rPr>
                <w:sz w:val="18"/>
                <w:szCs w:val="18"/>
              </w:rPr>
            </w:pPr>
            <w:r>
              <w:rPr>
                <w:sz w:val="18"/>
                <w:szCs w:val="18"/>
              </w:rPr>
              <w:t>Nie dotyczy</w:t>
            </w:r>
          </w:p>
        </w:tc>
      </w:tr>
      <w:tr w:rsidR="00821D06" w:rsidRPr="0018326A" w14:paraId="713B0954"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720EF3BB" w14:textId="77777777" w:rsidR="00821D06" w:rsidRPr="0018326A" w:rsidRDefault="00821D06" w:rsidP="00821D06">
            <w:pPr>
              <w:spacing w:after="0"/>
              <w:rPr>
                <w:sz w:val="18"/>
                <w:szCs w:val="18"/>
              </w:rPr>
            </w:pPr>
            <w:r w:rsidRPr="0018326A">
              <w:rPr>
                <w:color w:val="000000"/>
                <w:sz w:val="18"/>
                <w:szCs w:val="18"/>
              </w:rPr>
              <w:t>Planowany termin rozpoczęcia i zakończenia robót budowlanych</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23ACCBB5" w14:textId="06FAAA23" w:rsidR="00821D06" w:rsidRDefault="00A16D1E" w:rsidP="00821D06">
            <w:pPr>
              <w:jc w:val="center"/>
              <w:rPr>
                <w:sz w:val="18"/>
                <w:szCs w:val="18"/>
              </w:rPr>
            </w:pPr>
            <w:r>
              <w:rPr>
                <w:sz w:val="18"/>
                <w:szCs w:val="18"/>
              </w:rPr>
              <w:t>Termin</w:t>
            </w:r>
            <w:r w:rsidR="00BA527C">
              <w:rPr>
                <w:sz w:val="18"/>
                <w:szCs w:val="18"/>
              </w:rPr>
              <w:t xml:space="preserve"> rozpoczęcia </w:t>
            </w:r>
            <w:r w:rsidR="003C0C9B">
              <w:rPr>
                <w:sz w:val="18"/>
                <w:szCs w:val="18"/>
              </w:rPr>
              <w:t>–</w:t>
            </w:r>
            <w:r w:rsidR="00BA527C">
              <w:rPr>
                <w:sz w:val="18"/>
                <w:szCs w:val="18"/>
              </w:rPr>
              <w:t xml:space="preserve"> </w:t>
            </w:r>
            <w:r w:rsidR="00350A91" w:rsidRPr="00350A91">
              <w:rPr>
                <w:sz w:val="18"/>
                <w:szCs w:val="18"/>
              </w:rPr>
              <w:t xml:space="preserve"> 1 września 2025</w:t>
            </w:r>
            <w:r w:rsidR="00350A91">
              <w:rPr>
                <w:sz w:val="18"/>
                <w:szCs w:val="18"/>
              </w:rPr>
              <w:t xml:space="preserve"> </w:t>
            </w:r>
            <w:r w:rsidR="00350A91" w:rsidRPr="00350A91">
              <w:rPr>
                <w:sz w:val="18"/>
                <w:szCs w:val="18"/>
              </w:rPr>
              <w:t>r.</w:t>
            </w:r>
          </w:p>
          <w:p w14:paraId="42A93AA1" w14:textId="5F8F452E" w:rsidR="00BA527C" w:rsidRPr="0018326A" w:rsidRDefault="00BA527C" w:rsidP="00821D06">
            <w:pPr>
              <w:jc w:val="center"/>
              <w:rPr>
                <w:sz w:val="18"/>
                <w:szCs w:val="18"/>
              </w:rPr>
            </w:pPr>
            <w:r>
              <w:rPr>
                <w:sz w:val="18"/>
                <w:szCs w:val="18"/>
              </w:rPr>
              <w:t xml:space="preserve">Planowane zakończenie </w:t>
            </w:r>
            <w:r w:rsidRPr="00CA49CC">
              <w:rPr>
                <w:b/>
                <w:bCs/>
                <w:sz w:val="18"/>
                <w:szCs w:val="18"/>
              </w:rPr>
              <w:t xml:space="preserve">–  </w:t>
            </w:r>
            <w:r w:rsidR="00350A91" w:rsidRPr="00350A91">
              <w:rPr>
                <w:sz w:val="18"/>
                <w:szCs w:val="18"/>
              </w:rPr>
              <w:t xml:space="preserve">31 </w:t>
            </w:r>
            <w:r w:rsidR="00CE41A8">
              <w:rPr>
                <w:sz w:val="18"/>
                <w:szCs w:val="18"/>
              </w:rPr>
              <w:t>grud</w:t>
            </w:r>
            <w:r w:rsidR="00350A91">
              <w:rPr>
                <w:sz w:val="18"/>
                <w:szCs w:val="18"/>
              </w:rPr>
              <w:t>nia</w:t>
            </w:r>
            <w:r w:rsidR="00CE41A8">
              <w:rPr>
                <w:sz w:val="18"/>
                <w:szCs w:val="18"/>
              </w:rPr>
              <w:t xml:space="preserve"> 2027 r.</w:t>
            </w:r>
          </w:p>
        </w:tc>
      </w:tr>
      <w:tr w:rsidR="00821D06" w:rsidRPr="0018326A" w14:paraId="3B6A63D6"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00E1C95D" w14:textId="77777777" w:rsidR="00821D06" w:rsidRPr="0018326A" w:rsidRDefault="00821D06" w:rsidP="00821D06">
            <w:pPr>
              <w:spacing w:after="0"/>
              <w:rPr>
                <w:sz w:val="18"/>
                <w:szCs w:val="18"/>
              </w:rPr>
            </w:pPr>
            <w:r w:rsidRPr="0018326A">
              <w:rPr>
                <w:color w:val="000000"/>
                <w:sz w:val="18"/>
                <w:szCs w:val="18"/>
              </w:rPr>
              <w:t>Opis przedsięwzięcia deweloperskiego lub zadania inwestycyjnego</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70F6B359" w14:textId="77777777" w:rsidR="00821D06" w:rsidRPr="0018326A" w:rsidRDefault="00821D06" w:rsidP="00821D06">
            <w:pPr>
              <w:spacing w:after="0"/>
              <w:rPr>
                <w:sz w:val="18"/>
                <w:szCs w:val="18"/>
              </w:rPr>
            </w:pPr>
            <w:r w:rsidRPr="0018326A">
              <w:rPr>
                <w:color w:val="000000"/>
                <w:sz w:val="18"/>
                <w:szCs w:val="18"/>
              </w:rPr>
              <w:t>Liczba budynków</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434B50DF" w14:textId="322A1FBD" w:rsidR="00821D06" w:rsidRPr="0018326A" w:rsidRDefault="00CA49CC" w:rsidP="00821D06">
            <w:pPr>
              <w:jc w:val="center"/>
              <w:rPr>
                <w:sz w:val="18"/>
                <w:szCs w:val="18"/>
              </w:rPr>
            </w:pPr>
            <w:r>
              <w:rPr>
                <w:sz w:val="18"/>
                <w:szCs w:val="18"/>
              </w:rPr>
              <w:t>1</w:t>
            </w:r>
          </w:p>
        </w:tc>
      </w:tr>
      <w:tr w:rsidR="00821D06" w:rsidRPr="0018326A" w14:paraId="10326C59" w14:textId="77777777" w:rsidTr="00821D06">
        <w:trPr>
          <w:trHeight w:val="45"/>
          <w:tblCellSpacing w:w="0" w:type="auto"/>
        </w:trPr>
        <w:tc>
          <w:tcPr>
            <w:tcW w:w="3261" w:type="dxa"/>
            <w:vMerge/>
            <w:tcBorders>
              <w:top w:val="nil"/>
              <w:bottom w:val="single" w:sz="8" w:space="0" w:color="000000"/>
              <w:right w:val="single" w:sz="8" w:space="0" w:color="000000"/>
            </w:tcBorders>
          </w:tcPr>
          <w:p w14:paraId="7B84E700"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49ED82C" w14:textId="77777777" w:rsidR="00821D06" w:rsidRPr="0018326A" w:rsidRDefault="00821D06" w:rsidP="00821D06">
            <w:pPr>
              <w:spacing w:after="0"/>
              <w:rPr>
                <w:sz w:val="18"/>
                <w:szCs w:val="18"/>
              </w:rPr>
            </w:pPr>
            <w:r w:rsidRPr="0018326A">
              <w:rPr>
                <w:color w:val="000000"/>
                <w:sz w:val="18"/>
                <w:szCs w:val="18"/>
              </w:rPr>
              <w:t>Rozmieszczenie budynków na nieruchomości (należy podać minimalny odstęp między budynkami)</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4CD7DC7C" w14:textId="5E60508C" w:rsidR="00821D06" w:rsidRPr="0018326A" w:rsidRDefault="000D78AF" w:rsidP="00821D06">
            <w:pPr>
              <w:jc w:val="center"/>
              <w:rPr>
                <w:sz w:val="18"/>
                <w:szCs w:val="18"/>
              </w:rPr>
            </w:pPr>
            <w:r>
              <w:rPr>
                <w:sz w:val="18"/>
                <w:szCs w:val="18"/>
              </w:rPr>
              <w:t>Nie dotyczy</w:t>
            </w:r>
          </w:p>
        </w:tc>
      </w:tr>
      <w:tr w:rsidR="00821D06" w:rsidRPr="0018326A" w14:paraId="0BB8596F"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79734A00" w14:textId="77777777" w:rsidR="00821D06" w:rsidRPr="0018326A" w:rsidRDefault="00821D06" w:rsidP="00821D06">
            <w:pPr>
              <w:spacing w:after="0"/>
              <w:rPr>
                <w:sz w:val="18"/>
                <w:szCs w:val="18"/>
              </w:rPr>
            </w:pPr>
            <w:r w:rsidRPr="0018326A">
              <w:rPr>
                <w:color w:val="000000"/>
                <w:sz w:val="18"/>
                <w:szCs w:val="18"/>
              </w:rPr>
              <w:t>Sposób pomiaru powierzchni użytkowej lokalu mieszkalnego albo domu jednorodzinnego</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56EAE0A1" w14:textId="0DBD2CC3" w:rsidR="00821D06" w:rsidRPr="00461D9E" w:rsidRDefault="00766EF3" w:rsidP="00461D9E">
            <w:pPr>
              <w:jc w:val="both"/>
              <w:rPr>
                <w:sz w:val="18"/>
                <w:szCs w:val="18"/>
              </w:rPr>
            </w:pPr>
            <w:r w:rsidRPr="0002350A">
              <w:rPr>
                <w:sz w:val="18"/>
                <w:szCs w:val="18"/>
              </w:rPr>
              <w:t>Powierzchnia użytkowa lokalu, która zostanie ujawniona w księdze wieczystej założonej dla lokalu, zostanie ustalona ostatecznie na podstawie pomiarów powykonawczych zgodnie z normą PN-ISO 9836:2022-07, z uwzględnieniem przepisów dotyczących zaliczania do tej powierzchni pomieszczeń przynależnych zależnie od ich wysokości zgodnie z ustawą o podatkach i opłatach lokalnych z dnia z dnia 12 stycznia 1991 r. ze zmianami. Powierzchnia użytkowa lokalu stanowi podstawy obliczenia ostatecznej ceny nabycia lokalu. Powierzchnia użytkowa lokalu wpisana do księgi wieczystej stanowi podstawę określenia wielkości udziału przypadającego nabywcy we współwłasności nieruchomości wspólnej.</w:t>
            </w:r>
          </w:p>
        </w:tc>
      </w:tr>
      <w:tr w:rsidR="00821D06" w:rsidRPr="0018326A" w14:paraId="6323C0D9"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3A4B9BBD" w14:textId="77777777" w:rsidR="00821D06" w:rsidRPr="0018326A" w:rsidRDefault="00821D06" w:rsidP="00821D06">
            <w:pPr>
              <w:spacing w:after="0"/>
              <w:rPr>
                <w:sz w:val="18"/>
                <w:szCs w:val="18"/>
              </w:rPr>
            </w:pPr>
            <w:r w:rsidRPr="0018326A">
              <w:rPr>
                <w:color w:val="000000"/>
                <w:sz w:val="18"/>
                <w:szCs w:val="18"/>
              </w:rPr>
              <w:t>Zamierzony sposób i procentowy udział źródeł finansowania przedsięwzięcia deweloperskiego lub zadania inwestycyjnego</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01A28625" w14:textId="77777777" w:rsidR="00821D06" w:rsidRPr="0018326A" w:rsidRDefault="00821D06" w:rsidP="00821D06">
            <w:pPr>
              <w:spacing w:after="0"/>
              <w:rPr>
                <w:sz w:val="18"/>
                <w:szCs w:val="18"/>
              </w:rPr>
            </w:pPr>
            <w:r w:rsidRPr="0018326A">
              <w:rPr>
                <w:color w:val="000000"/>
                <w:sz w:val="18"/>
                <w:szCs w:val="18"/>
              </w:rPr>
              <w:t>Rodzaj posiadanych środków finansowych - kredyt, środki własne, inne</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5300DCCF" w14:textId="74F30ED0" w:rsidR="00821D06" w:rsidRPr="0018326A" w:rsidRDefault="000D78AF" w:rsidP="00821D06">
            <w:pPr>
              <w:jc w:val="center"/>
              <w:rPr>
                <w:sz w:val="18"/>
                <w:szCs w:val="18"/>
              </w:rPr>
            </w:pPr>
            <w:r w:rsidRPr="00A16D1E">
              <w:rPr>
                <w:sz w:val="18"/>
                <w:szCs w:val="18"/>
              </w:rPr>
              <w:t>Środki własne</w:t>
            </w:r>
          </w:p>
        </w:tc>
      </w:tr>
      <w:tr w:rsidR="00821D06" w:rsidRPr="0018326A" w14:paraId="40AD5C72" w14:textId="77777777" w:rsidTr="00821D06">
        <w:trPr>
          <w:trHeight w:val="45"/>
          <w:tblCellSpacing w:w="0" w:type="auto"/>
        </w:trPr>
        <w:tc>
          <w:tcPr>
            <w:tcW w:w="3261" w:type="dxa"/>
            <w:vMerge/>
            <w:tcBorders>
              <w:top w:val="nil"/>
              <w:bottom w:val="single" w:sz="8" w:space="0" w:color="000000"/>
              <w:right w:val="single" w:sz="8" w:space="0" w:color="000000"/>
            </w:tcBorders>
          </w:tcPr>
          <w:p w14:paraId="6DAA2D5B"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349AE4CF" w14:textId="77777777" w:rsidR="00821D06" w:rsidRPr="0018326A" w:rsidRDefault="00821D06" w:rsidP="00821D06">
            <w:pPr>
              <w:spacing w:after="0"/>
              <w:rPr>
                <w:sz w:val="18"/>
                <w:szCs w:val="18"/>
              </w:rPr>
            </w:pPr>
            <w:r w:rsidRPr="0018326A">
              <w:rPr>
                <w:color w:val="000000"/>
                <w:sz w:val="18"/>
                <w:szCs w:val="18"/>
              </w:rPr>
              <w:t>W następujących instytucjach finansowych (wypełnia się w przypadku kredytu)</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3548B0A4" w14:textId="56B8741A" w:rsidR="00821D06" w:rsidRPr="0018326A" w:rsidRDefault="000D78AF" w:rsidP="00821D06">
            <w:pPr>
              <w:jc w:val="center"/>
              <w:rPr>
                <w:sz w:val="18"/>
                <w:szCs w:val="18"/>
              </w:rPr>
            </w:pPr>
            <w:r>
              <w:rPr>
                <w:sz w:val="18"/>
                <w:szCs w:val="18"/>
              </w:rPr>
              <w:t>Nie dotyczy</w:t>
            </w:r>
          </w:p>
        </w:tc>
      </w:tr>
      <w:tr w:rsidR="00821D06" w:rsidRPr="0018326A" w14:paraId="4328B042" w14:textId="77777777" w:rsidTr="00821D06">
        <w:trPr>
          <w:trHeight w:val="45"/>
          <w:tblCellSpacing w:w="0" w:type="auto"/>
        </w:trPr>
        <w:tc>
          <w:tcPr>
            <w:tcW w:w="3261" w:type="dxa"/>
            <w:vMerge w:val="restart"/>
            <w:tcBorders>
              <w:bottom w:val="single" w:sz="8" w:space="0" w:color="000000"/>
              <w:right w:val="single" w:sz="8" w:space="0" w:color="000000"/>
            </w:tcBorders>
            <w:tcMar>
              <w:top w:w="15" w:type="dxa"/>
              <w:left w:w="15" w:type="dxa"/>
              <w:bottom w:w="15" w:type="dxa"/>
              <w:right w:w="15" w:type="dxa"/>
            </w:tcMar>
            <w:vAlign w:val="center"/>
          </w:tcPr>
          <w:p w14:paraId="55C04539" w14:textId="77777777" w:rsidR="00821D06" w:rsidRPr="0018326A" w:rsidRDefault="00821D06" w:rsidP="00821D06">
            <w:pPr>
              <w:spacing w:after="0"/>
              <w:rPr>
                <w:sz w:val="18"/>
                <w:szCs w:val="18"/>
              </w:rPr>
            </w:pPr>
            <w:r w:rsidRPr="0018326A">
              <w:rPr>
                <w:color w:val="000000"/>
                <w:sz w:val="18"/>
                <w:szCs w:val="18"/>
              </w:rPr>
              <w:t>Środki ochrony nabywców</w:t>
            </w: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4C2C844E" w14:textId="40FDF34A" w:rsidR="00821D06" w:rsidRPr="0018326A" w:rsidRDefault="00821D06" w:rsidP="00821D06">
            <w:pPr>
              <w:spacing w:after="0"/>
              <w:rPr>
                <w:sz w:val="18"/>
                <w:szCs w:val="18"/>
              </w:rPr>
            </w:pPr>
            <w:r w:rsidRPr="0018326A">
              <w:rPr>
                <w:color w:val="000000"/>
                <w:sz w:val="18"/>
                <w:szCs w:val="18"/>
              </w:rPr>
              <w:t>Otwarty mieszkaniowy rachunek powierniczy</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62DC940D" w14:textId="430179EF" w:rsidR="00821D06" w:rsidRPr="0018326A" w:rsidRDefault="000D78AF" w:rsidP="00821D06">
            <w:pPr>
              <w:spacing w:after="0"/>
              <w:jc w:val="center"/>
              <w:rPr>
                <w:sz w:val="18"/>
                <w:szCs w:val="18"/>
              </w:rPr>
            </w:pPr>
            <w:r>
              <w:rPr>
                <w:sz w:val="18"/>
                <w:szCs w:val="18"/>
              </w:rPr>
              <w:t>Tak</w:t>
            </w:r>
          </w:p>
        </w:tc>
      </w:tr>
      <w:tr w:rsidR="00821D06" w:rsidRPr="0018326A" w14:paraId="14602159" w14:textId="77777777" w:rsidTr="00821D06">
        <w:trPr>
          <w:trHeight w:val="45"/>
          <w:tblCellSpacing w:w="0" w:type="auto"/>
        </w:trPr>
        <w:tc>
          <w:tcPr>
            <w:tcW w:w="3261" w:type="dxa"/>
            <w:vMerge/>
            <w:tcBorders>
              <w:top w:val="nil"/>
              <w:bottom w:val="single" w:sz="8" w:space="0" w:color="000000"/>
              <w:right w:val="single" w:sz="8" w:space="0" w:color="000000"/>
            </w:tcBorders>
          </w:tcPr>
          <w:p w14:paraId="0AFE9F48" w14:textId="77777777" w:rsidR="00821D06" w:rsidRPr="0018326A" w:rsidRDefault="00821D06" w:rsidP="00821D06">
            <w:pPr>
              <w:rPr>
                <w:sz w:val="18"/>
                <w:szCs w:val="18"/>
              </w:rPr>
            </w:pPr>
          </w:p>
        </w:tc>
        <w:tc>
          <w:tcPr>
            <w:tcW w:w="2977" w:type="dxa"/>
            <w:tcBorders>
              <w:bottom w:val="single" w:sz="8" w:space="0" w:color="000000"/>
              <w:right w:val="single" w:sz="8" w:space="0" w:color="000000"/>
            </w:tcBorders>
            <w:tcMar>
              <w:top w:w="15" w:type="dxa"/>
              <w:left w:w="15" w:type="dxa"/>
              <w:bottom w:w="15" w:type="dxa"/>
              <w:right w:w="15" w:type="dxa"/>
            </w:tcMar>
            <w:vAlign w:val="center"/>
          </w:tcPr>
          <w:p w14:paraId="653155AF" w14:textId="77777777" w:rsidR="00821D06" w:rsidRPr="0018326A" w:rsidRDefault="00821D06" w:rsidP="00821D06">
            <w:pPr>
              <w:spacing w:after="0"/>
              <w:rPr>
                <w:sz w:val="18"/>
                <w:szCs w:val="18"/>
              </w:rPr>
            </w:pPr>
            <w:r w:rsidRPr="0018326A">
              <w:rPr>
                <w:color w:val="000000"/>
                <w:sz w:val="18"/>
                <w:szCs w:val="18"/>
              </w:rPr>
              <w:t>Wysokość stawki procentowej, według której jest obliczana kwota składki na Deweloperski Fundusz Gwarancyjny</w:t>
            </w:r>
            <w:r w:rsidRPr="0018326A">
              <w:rPr>
                <w:color w:val="000000"/>
                <w:sz w:val="18"/>
                <w:szCs w:val="18"/>
                <w:vertAlign w:val="superscript"/>
              </w:rPr>
              <w:t>7</w:t>
            </w:r>
            <w:r w:rsidRPr="0018326A">
              <w:rPr>
                <w:color w:val="000000"/>
                <w:sz w:val="18"/>
                <w:szCs w:val="18"/>
              </w:rPr>
              <w:t>)</w:t>
            </w:r>
          </w:p>
        </w:tc>
        <w:tc>
          <w:tcPr>
            <w:tcW w:w="4536" w:type="dxa"/>
            <w:tcBorders>
              <w:bottom w:val="single" w:sz="8" w:space="0" w:color="000000"/>
              <w:right w:val="single" w:sz="8" w:space="0" w:color="000000"/>
            </w:tcBorders>
            <w:tcMar>
              <w:top w:w="15" w:type="dxa"/>
              <w:left w:w="15" w:type="dxa"/>
              <w:bottom w:w="15" w:type="dxa"/>
              <w:right w:w="15" w:type="dxa"/>
            </w:tcMar>
            <w:vAlign w:val="center"/>
          </w:tcPr>
          <w:p w14:paraId="30B1142F" w14:textId="70888A49" w:rsidR="00821D06" w:rsidRPr="0018326A" w:rsidRDefault="00394EF7" w:rsidP="00821D06">
            <w:pPr>
              <w:jc w:val="center"/>
              <w:rPr>
                <w:sz w:val="18"/>
                <w:szCs w:val="18"/>
              </w:rPr>
            </w:pPr>
            <w:r w:rsidRPr="00CA49CC">
              <w:rPr>
                <w:sz w:val="18"/>
                <w:szCs w:val="18"/>
                <w:highlight w:val="yellow"/>
              </w:rPr>
              <w:t>0,45</w:t>
            </w:r>
            <w:r>
              <w:rPr>
                <w:sz w:val="18"/>
                <w:szCs w:val="18"/>
              </w:rPr>
              <w:t xml:space="preserve"> %</w:t>
            </w:r>
          </w:p>
        </w:tc>
      </w:tr>
      <w:tr w:rsidR="00A16D1E" w:rsidRPr="0018326A" w14:paraId="3FC733B1"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46EC17BE" w14:textId="77777777" w:rsidR="00A16D1E" w:rsidRPr="0018326A" w:rsidRDefault="00A16D1E" w:rsidP="00A16D1E">
            <w:pPr>
              <w:spacing w:after="0"/>
              <w:rPr>
                <w:sz w:val="18"/>
                <w:szCs w:val="18"/>
                <w:highlight w:val="yellow"/>
              </w:rPr>
            </w:pPr>
            <w:r w:rsidRPr="0018326A">
              <w:rPr>
                <w:color w:val="000000"/>
                <w:sz w:val="18"/>
                <w:szCs w:val="18"/>
              </w:rPr>
              <w:t>Główne zasady funkcjonowania wybranego rodzaju zabezpieczenia środków nabywcy</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082C1CA1" w14:textId="2AA56AA5" w:rsidR="0030162D" w:rsidRDefault="00A16D1E" w:rsidP="00A16D1E">
            <w:pPr>
              <w:jc w:val="both"/>
              <w:rPr>
                <w:b/>
                <w:bCs/>
                <w:sz w:val="18"/>
                <w:szCs w:val="18"/>
              </w:rPr>
            </w:pPr>
            <w:r w:rsidRPr="0002350A">
              <w:rPr>
                <w:sz w:val="18"/>
                <w:szCs w:val="18"/>
              </w:rPr>
              <w:t xml:space="preserve">Deweloper zawarł Umowę o prowadzenie Otwartego Mieszkaniowego Rachunku Powierniczego </w:t>
            </w:r>
            <w:r w:rsidRPr="004D6D7A">
              <w:rPr>
                <w:sz w:val="20"/>
                <w:szCs w:val="20"/>
              </w:rPr>
              <w:t xml:space="preserve">z </w:t>
            </w:r>
            <w:r w:rsidRPr="00752DA2">
              <w:rPr>
                <w:b/>
                <w:bCs/>
                <w:sz w:val="20"/>
                <w:szCs w:val="20"/>
              </w:rPr>
              <w:t xml:space="preserve">Bankiem </w:t>
            </w:r>
            <w:r w:rsidR="00CA49CC" w:rsidRPr="00CA49CC">
              <w:rPr>
                <w:b/>
                <w:bCs/>
                <w:sz w:val="20"/>
                <w:szCs w:val="20"/>
                <w:highlight w:val="yellow"/>
              </w:rPr>
              <w:t>……………..</w:t>
            </w:r>
            <w:r w:rsidRPr="00752DA2">
              <w:rPr>
                <w:sz w:val="20"/>
                <w:szCs w:val="20"/>
              </w:rPr>
              <w:t xml:space="preserve">, </w:t>
            </w:r>
            <w:r w:rsidRPr="00752DA2">
              <w:rPr>
                <w:sz w:val="18"/>
                <w:szCs w:val="18"/>
              </w:rPr>
              <w:t xml:space="preserve"> na podstawie której Bank zobowiązał się do otwarcia i prowadzenia rachunku powierniczego </w:t>
            </w:r>
            <w:r w:rsidR="00CA49CC" w:rsidRPr="00CA49CC">
              <w:rPr>
                <w:b/>
                <w:bCs/>
                <w:sz w:val="20"/>
                <w:szCs w:val="20"/>
                <w:highlight w:val="yellow"/>
              </w:rPr>
              <w:t>……………..</w:t>
            </w:r>
            <w:r w:rsidR="00CA49CC" w:rsidRPr="00752DA2">
              <w:rPr>
                <w:sz w:val="20"/>
                <w:szCs w:val="20"/>
              </w:rPr>
              <w:t>,</w:t>
            </w:r>
            <w:r w:rsidR="0030162D">
              <w:rPr>
                <w:b/>
                <w:bCs/>
                <w:sz w:val="18"/>
                <w:szCs w:val="18"/>
              </w:rPr>
              <w:t>.</w:t>
            </w:r>
          </w:p>
          <w:p w14:paraId="46F439EC" w14:textId="1923A98C" w:rsidR="00A16D1E" w:rsidRPr="0002350A" w:rsidRDefault="00A16D1E" w:rsidP="00A16D1E">
            <w:pPr>
              <w:jc w:val="both"/>
              <w:rPr>
                <w:sz w:val="18"/>
                <w:szCs w:val="18"/>
              </w:rPr>
            </w:pPr>
            <w:r w:rsidRPr="0002350A">
              <w:rPr>
                <w:sz w:val="18"/>
                <w:szCs w:val="18"/>
              </w:rPr>
              <w:t>Dla każdego Nabywcy do wyżej wskazanego  Otwartego Mieszkaniowego Rachunku Powierniczego zostanie nadany indywidualny rachunek Nabywcy.</w:t>
            </w:r>
          </w:p>
          <w:p w14:paraId="225EEC5A" w14:textId="77777777" w:rsidR="00A16D1E" w:rsidRPr="0002350A" w:rsidRDefault="00A16D1E" w:rsidP="00A16D1E">
            <w:pPr>
              <w:jc w:val="both"/>
              <w:rPr>
                <w:sz w:val="18"/>
                <w:szCs w:val="18"/>
              </w:rPr>
            </w:pPr>
            <w:r w:rsidRPr="0002350A">
              <w:rPr>
                <w:sz w:val="18"/>
                <w:szCs w:val="18"/>
              </w:rPr>
              <w:t xml:space="preserve">Indywidualny rachunek Nabywcy będzie służyć do gromadzenia środków pieniężnych wpłacanych przez Nabywcę z przeznaczeniem na nabycie Lokalu na podstawie Umowy Deweloperskiej. Bank prowadzący rachunek ewidencjonuje wpłaty i wypłaty odrębnie dla każdego Nabywcy. Bank prowadzący rachunek na żądanie Nabywcy poinformuje go o dokonanych wpłatach i wypłatach. Deweloper ma prawo dysponować środkami wypłacanymi z Otwartego Mieszkaniowego Rachunku Powierniczego, wyłącznie w celu realizacji Przedsięwzięcia Deweloperskiego, dla którego prowadzony jest rachunek powierniczy. Bank wypłaca Deweloperowi środki zgromadzone na Otwartym Mieszkaniowym Rachunku Powierniczym po stwierdzeniu zakończenia danego etapu Przedsięwzięcia Deweloperskiego, wskazanego w Prospekcie Informacyjnym. </w:t>
            </w:r>
          </w:p>
          <w:p w14:paraId="2E9DF577" w14:textId="77777777" w:rsidR="00A16D1E" w:rsidRPr="0002350A" w:rsidRDefault="00A16D1E" w:rsidP="00A16D1E">
            <w:pPr>
              <w:jc w:val="both"/>
              <w:rPr>
                <w:sz w:val="18"/>
                <w:szCs w:val="18"/>
              </w:rPr>
            </w:pPr>
            <w:r w:rsidRPr="0002350A">
              <w:rPr>
                <w:sz w:val="18"/>
                <w:szCs w:val="18"/>
              </w:rPr>
              <w:lastRenderedPageBreak/>
              <w:t>Przedsięwzięcie Deweloperskie będzie realizowane zgodnie z harmonogramem określonym w Prospekcie Informacyjnym.</w:t>
            </w:r>
          </w:p>
          <w:p w14:paraId="7CDE959E" w14:textId="77777777" w:rsidR="00A16D1E" w:rsidRPr="0002350A" w:rsidRDefault="00A16D1E" w:rsidP="00A16D1E">
            <w:pPr>
              <w:jc w:val="both"/>
              <w:rPr>
                <w:sz w:val="18"/>
                <w:szCs w:val="18"/>
              </w:rPr>
            </w:pPr>
            <w:r w:rsidRPr="0002350A">
              <w:rPr>
                <w:sz w:val="18"/>
                <w:szCs w:val="18"/>
              </w:rPr>
              <w:t xml:space="preserve">Nabywca dokonuje wpłat na indywidualny rachunek powierniczy zgodnie z postępem realizacji przedsięwzięcia deweloperskiego. Wysokość wpłat dokonywanych przez Nabywcę jest uzależniona od faktycznego stopnia realizacji poszczególnych etapów przedsięwzięcia deweloperskiego, określonych w harmonogramie. </w:t>
            </w:r>
          </w:p>
          <w:p w14:paraId="021EC1DE" w14:textId="77777777" w:rsidR="00A16D1E" w:rsidRPr="0002350A" w:rsidRDefault="00A16D1E" w:rsidP="00A16D1E">
            <w:pPr>
              <w:jc w:val="both"/>
              <w:rPr>
                <w:sz w:val="18"/>
                <w:szCs w:val="18"/>
              </w:rPr>
            </w:pPr>
            <w:r w:rsidRPr="0002350A">
              <w:rPr>
                <w:sz w:val="18"/>
                <w:szCs w:val="18"/>
              </w:rPr>
              <w:t xml:space="preserve">Nabywca dokonuje wpłat na indywidualny mieszkaniowy rachunek powierniczy po zakończeniu danego etapu przedsięwzięcia deweloperskiego, określonego w harmonogramie. Deweloper informuje nabywcę na papierze lub innym trwałym nośniku o zakończeniu danego etapu przedsięwzięcia deweloperskiego określonych w harmonogramie. </w:t>
            </w:r>
          </w:p>
          <w:p w14:paraId="710011AD" w14:textId="77777777" w:rsidR="00A16D1E" w:rsidRPr="0002350A" w:rsidRDefault="00A16D1E" w:rsidP="00A16D1E">
            <w:pPr>
              <w:jc w:val="both"/>
              <w:rPr>
                <w:sz w:val="18"/>
                <w:szCs w:val="18"/>
              </w:rPr>
            </w:pPr>
            <w:r w:rsidRPr="0002350A">
              <w:rPr>
                <w:sz w:val="18"/>
                <w:szCs w:val="18"/>
              </w:rPr>
              <w:t xml:space="preserve">Bank dokonuje kontroli zakończenia każdego z etapów przedsięwzięcia deweloperskiego określonego w harmonogramie, przed dokonaniem wypłaty z Otwartego Mieszkaniowego Rachunku Powierniczego na rzecz Dewelopera. </w:t>
            </w:r>
          </w:p>
          <w:p w14:paraId="2AB30440" w14:textId="77777777" w:rsidR="00A16D1E" w:rsidRPr="0002350A" w:rsidRDefault="00A16D1E" w:rsidP="00A16D1E">
            <w:pPr>
              <w:jc w:val="both"/>
              <w:rPr>
                <w:sz w:val="18"/>
                <w:szCs w:val="18"/>
              </w:rPr>
            </w:pPr>
            <w:r w:rsidRPr="0002350A">
              <w:rPr>
                <w:sz w:val="18"/>
                <w:szCs w:val="18"/>
              </w:rPr>
              <w:t>Koszty, opłaty i prowizje za prowadzenie Otartego Mieszkaniowego Rachunku Powierniczego obciążają Dewelopera. W związku z realizacją przez Dewelopera umowy deweloperskiej bank wypłaca deweloperowi środki pieniężne wpłacone przez Nabywcę na indywidualny rachunek powierniczy Nabywcy, nie wcześniej niż po 30 dniach od dnia zawarcia umowy deweloperskiej i po stwierdzeniu zakończeniu danego etapu przedsięwzięcia deweloperskiego, w wysokości kwoty stanowiącej iloczyn procentu kosztów danego etapu określonego w harmonogramie przedsięwzięcie deweloperskiego oraz ceny lokalu.</w:t>
            </w:r>
          </w:p>
          <w:p w14:paraId="30B6D31C" w14:textId="77777777" w:rsidR="00A16D1E" w:rsidRPr="0002350A" w:rsidRDefault="00A16D1E" w:rsidP="00A16D1E">
            <w:pPr>
              <w:jc w:val="both"/>
              <w:rPr>
                <w:sz w:val="18"/>
                <w:szCs w:val="18"/>
              </w:rPr>
            </w:pPr>
            <w:r w:rsidRPr="0002350A">
              <w:rPr>
                <w:sz w:val="18"/>
                <w:szCs w:val="18"/>
              </w:rPr>
              <w:t>W przypadku zakończenia ostatniego etapu przedsięwzięcia deweloperskiego, określonego w harmonogramie, bank wypłaci Deweloperowi pozostałe na indywidualnym rachunku Nabywcy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w:t>
            </w:r>
          </w:p>
          <w:p w14:paraId="70CD9410" w14:textId="77777777" w:rsidR="00A16D1E" w:rsidRPr="0002350A" w:rsidRDefault="00A16D1E" w:rsidP="00A16D1E">
            <w:pPr>
              <w:jc w:val="both"/>
              <w:rPr>
                <w:sz w:val="18"/>
                <w:szCs w:val="18"/>
              </w:rPr>
            </w:pPr>
            <w:r w:rsidRPr="0002350A">
              <w:rPr>
                <w:sz w:val="18"/>
                <w:szCs w:val="18"/>
              </w:rPr>
              <w:t xml:space="preserve">Na żądanie Nabywcy Bank przekazuje informacje dotyczące wpłat i wypłat Nabywcy zgodnie z prowadzoną w Banku ewidencją wpłat i wypłat na koncie technicznym odrębnie dla każdego nabywcy oraz informacje dotyczące salda rachunku w zakresie danego przedsięwzięcia. </w:t>
            </w:r>
          </w:p>
          <w:p w14:paraId="19B6212D" w14:textId="39AC0F06" w:rsidR="00A16D1E" w:rsidRPr="00401378" w:rsidRDefault="00A16D1E" w:rsidP="00A16D1E">
            <w:pPr>
              <w:pStyle w:val="Akapitzlist"/>
              <w:numPr>
                <w:ilvl w:val="0"/>
                <w:numId w:val="44"/>
              </w:numPr>
              <w:ind w:left="411"/>
              <w:jc w:val="both"/>
              <w:rPr>
                <w:sz w:val="18"/>
                <w:szCs w:val="18"/>
              </w:rPr>
            </w:pPr>
            <w:r w:rsidRPr="00401378">
              <w:rPr>
                <w:sz w:val="18"/>
                <w:szCs w:val="18"/>
              </w:rPr>
              <w:t xml:space="preserve">Zgodnie z powołaną wyżej Umową o prowadzenie Otwartego Mieszkaniowego Rachunku Powierniczego zawartą z Bankiem </w:t>
            </w:r>
            <w:r w:rsidR="00CA49CC" w:rsidRPr="00CA49CC">
              <w:rPr>
                <w:b/>
                <w:bCs/>
                <w:sz w:val="20"/>
                <w:szCs w:val="20"/>
                <w:highlight w:val="yellow"/>
              </w:rPr>
              <w:t>……………..</w:t>
            </w:r>
            <w:r w:rsidR="00CA49CC" w:rsidRPr="00752DA2">
              <w:rPr>
                <w:sz w:val="20"/>
                <w:szCs w:val="20"/>
              </w:rPr>
              <w:t>,</w:t>
            </w:r>
            <w:r w:rsidRPr="00401378">
              <w:rPr>
                <w:sz w:val="18"/>
                <w:szCs w:val="18"/>
              </w:rPr>
              <w:t>, w przypadku odstąpienia od umowy deweloperskiej na podstawie art. 43 Ustawy Deweloperskiej przez jedną ze stron niniejszej umowy deweloperskiej Bank wypłaca Nabywcy środki przypadające Nabywcy znajdujące się na Indywidualnym Rachunku Nabywcy nadanym do Otwartego Mieszkaniowego Rachunku Powierniczego niezwłocznie pod warunkiem przedłożenia w Banku:</w:t>
            </w:r>
          </w:p>
          <w:p w14:paraId="7B237C75" w14:textId="77777777" w:rsidR="00A16D1E" w:rsidRPr="00401378" w:rsidRDefault="00A16D1E" w:rsidP="00CA49CC">
            <w:pPr>
              <w:numPr>
                <w:ilvl w:val="0"/>
                <w:numId w:val="42"/>
              </w:numPr>
              <w:spacing w:after="0"/>
              <w:ind w:left="411"/>
              <w:jc w:val="both"/>
              <w:rPr>
                <w:sz w:val="18"/>
                <w:szCs w:val="18"/>
              </w:rPr>
            </w:pPr>
            <w:r w:rsidRPr="00401378">
              <w:rPr>
                <w:sz w:val="18"/>
                <w:szCs w:val="18"/>
              </w:rPr>
              <w:t>pisemnego oświadczenia o odstąpieniu od umowy z Nabywcą ze zgodą na wykreślenie z księgi wieczystej wszelkich roszczeń Nabywcy z tytułu zawartej z posiadaczem rachunku umowy z Nabywcą lub dostarczonego do Banku aktu notarialnego zawierającego zgodne oświadczenie stron na odstąpienie od umowy z Nabywcą oraz wszystkie informacje zawarte w oświadczeniu o odstąpieniu od umowy z Nabywcą, w przypadku odstąpienia od umowy przez Nabywcę - oświadczenie powinno zawierać potwierdzenie posiadacza rachunku, że zostało mu ono doręczone,</w:t>
            </w:r>
          </w:p>
          <w:p w14:paraId="1B6A8ECA" w14:textId="77777777" w:rsidR="00A16D1E" w:rsidRPr="00401378" w:rsidRDefault="00A16D1E" w:rsidP="00CA49CC">
            <w:pPr>
              <w:numPr>
                <w:ilvl w:val="0"/>
                <w:numId w:val="42"/>
              </w:numPr>
              <w:spacing w:after="0"/>
              <w:ind w:left="411"/>
              <w:jc w:val="both"/>
              <w:rPr>
                <w:sz w:val="18"/>
                <w:szCs w:val="18"/>
              </w:rPr>
            </w:pPr>
            <w:r w:rsidRPr="00401378">
              <w:rPr>
                <w:sz w:val="18"/>
                <w:szCs w:val="18"/>
              </w:rPr>
              <w:t>pisemnego oświadczenia Nabywcy w sprawie postępowania po odstąpieniu od umowy z Nabywcą albo rozwiązaniu umowy z Nabywcą, którego wzór stanowi załącznik do umowy o</w:t>
            </w:r>
            <w:r w:rsidRPr="00401378">
              <w:rPr>
                <w:bCs/>
                <w:sz w:val="18"/>
                <w:szCs w:val="18"/>
              </w:rPr>
              <w:t xml:space="preserve"> prowadzenie </w:t>
            </w:r>
            <w:r w:rsidRPr="00401378">
              <w:rPr>
                <w:sz w:val="18"/>
                <w:szCs w:val="18"/>
              </w:rPr>
              <w:t>Otwartego Mieszkaniowego Rachunku Powierniczego.</w:t>
            </w:r>
          </w:p>
          <w:p w14:paraId="61F49FA4" w14:textId="77777777" w:rsidR="00A16D1E" w:rsidRPr="00401378" w:rsidRDefault="00A16D1E" w:rsidP="00CA49CC">
            <w:pPr>
              <w:numPr>
                <w:ilvl w:val="0"/>
                <w:numId w:val="45"/>
              </w:numPr>
              <w:spacing w:after="0"/>
              <w:ind w:left="411"/>
              <w:jc w:val="both"/>
              <w:rPr>
                <w:sz w:val="18"/>
                <w:szCs w:val="18"/>
              </w:rPr>
            </w:pPr>
            <w:r w:rsidRPr="00401378">
              <w:rPr>
                <w:sz w:val="18"/>
                <w:szCs w:val="18"/>
              </w:rPr>
              <w:t xml:space="preserve">W przypadku rozwiązania umowy deweloperskiej z powodu innego niż odstąpienie na podstawie art. 43 Ustawy Deweloperskiej, warunkiem wypłaty środków pieniężnych z rachunku jest przedłożenie w Banku:  </w:t>
            </w:r>
          </w:p>
          <w:p w14:paraId="009D42A1" w14:textId="77777777" w:rsidR="00A16D1E" w:rsidRPr="00401378" w:rsidRDefault="00A16D1E" w:rsidP="00CA49CC">
            <w:pPr>
              <w:numPr>
                <w:ilvl w:val="0"/>
                <w:numId w:val="43"/>
              </w:numPr>
              <w:spacing w:after="0"/>
              <w:ind w:left="411" w:hanging="411"/>
              <w:jc w:val="both"/>
              <w:rPr>
                <w:sz w:val="18"/>
                <w:szCs w:val="18"/>
              </w:rPr>
            </w:pPr>
            <w:r w:rsidRPr="00401378">
              <w:rPr>
                <w:sz w:val="18"/>
                <w:szCs w:val="18"/>
              </w:rPr>
              <w:t>Złożenia w formie aktu notarialnego oświadczenia stron umowy z Nabywcą o rozwiązaniu tej umowy,</w:t>
            </w:r>
          </w:p>
          <w:p w14:paraId="2C11CB1E" w14:textId="77777777" w:rsidR="00A16D1E" w:rsidRPr="00401378" w:rsidRDefault="00A16D1E" w:rsidP="00CA49CC">
            <w:pPr>
              <w:numPr>
                <w:ilvl w:val="0"/>
                <w:numId w:val="43"/>
              </w:numPr>
              <w:spacing w:after="0"/>
              <w:ind w:left="411" w:hanging="309"/>
              <w:jc w:val="both"/>
              <w:rPr>
                <w:sz w:val="18"/>
                <w:szCs w:val="18"/>
              </w:rPr>
            </w:pPr>
            <w:r w:rsidRPr="00401378">
              <w:rPr>
                <w:sz w:val="18"/>
                <w:szCs w:val="18"/>
              </w:rPr>
              <w:t>Zgodnych oświadczeń stron umowy z Nabywcą o sposobie podziału środków pieniężnych wpłaconych przez Nabywcę na przypisany do niego indywidualnego rachunku powierniczego</w:t>
            </w:r>
          </w:p>
          <w:p w14:paraId="41AA1351" w14:textId="77777777" w:rsidR="00A16D1E" w:rsidRPr="00401378" w:rsidRDefault="00A16D1E" w:rsidP="00CA49CC">
            <w:pPr>
              <w:numPr>
                <w:ilvl w:val="0"/>
                <w:numId w:val="43"/>
              </w:numPr>
              <w:spacing w:after="0"/>
              <w:ind w:left="411"/>
              <w:jc w:val="both"/>
              <w:rPr>
                <w:sz w:val="18"/>
                <w:szCs w:val="18"/>
              </w:rPr>
            </w:pPr>
            <w:r w:rsidRPr="00401378">
              <w:rPr>
                <w:sz w:val="18"/>
                <w:szCs w:val="18"/>
              </w:rPr>
              <w:lastRenderedPageBreak/>
              <w:t>pisemnego oświadczenia Nabywcy w sprawie postępowania po odstąpieniu od umowy z Nabywcą albo rozwiązaniu umowy z Nabywcą, którego wzór stanowi załącznik do umowy o</w:t>
            </w:r>
            <w:r w:rsidRPr="00401378">
              <w:rPr>
                <w:bCs/>
                <w:sz w:val="18"/>
                <w:szCs w:val="18"/>
              </w:rPr>
              <w:t xml:space="preserve"> prowadzenie </w:t>
            </w:r>
            <w:r w:rsidRPr="00401378">
              <w:rPr>
                <w:sz w:val="18"/>
                <w:szCs w:val="18"/>
              </w:rPr>
              <w:t>Otwartego Mieszkaniowego Rachunku Powierniczego;</w:t>
            </w:r>
            <w:r w:rsidRPr="00401378">
              <w:rPr>
                <w:bCs/>
                <w:sz w:val="18"/>
                <w:szCs w:val="18"/>
              </w:rPr>
              <w:t xml:space="preserve"> </w:t>
            </w:r>
          </w:p>
          <w:p w14:paraId="76698DE7" w14:textId="410426DF" w:rsidR="00A16D1E" w:rsidRPr="00CA49CC" w:rsidRDefault="00A16D1E" w:rsidP="00CA49CC">
            <w:pPr>
              <w:numPr>
                <w:ilvl w:val="0"/>
                <w:numId w:val="43"/>
              </w:numPr>
              <w:spacing w:after="0"/>
              <w:ind w:left="411"/>
              <w:jc w:val="both"/>
              <w:rPr>
                <w:sz w:val="18"/>
                <w:szCs w:val="18"/>
              </w:rPr>
            </w:pPr>
            <w:r w:rsidRPr="00401378">
              <w:rPr>
                <w:bCs/>
                <w:sz w:val="18"/>
                <w:szCs w:val="18"/>
              </w:rPr>
              <w:t>dopuszcza się złożenie aktu notarialnego zawierającego zgodne oświadczenia woli stron o rozwiązani umowy z Nabywcą o sposobie podziału środków pieniężnych zgromadzonych przez Nabywcę na rachunku oraz wszelkie wymagane dane występujące w oświadczeniu o którym mowa w pkt. 3 powyżej.</w:t>
            </w:r>
          </w:p>
          <w:p w14:paraId="4149F445" w14:textId="4D2CD235" w:rsidR="00CA49CC" w:rsidRDefault="00A16D1E" w:rsidP="00CA49CC">
            <w:pPr>
              <w:spacing w:after="0"/>
              <w:jc w:val="both"/>
              <w:rPr>
                <w:sz w:val="18"/>
                <w:szCs w:val="18"/>
              </w:rPr>
            </w:pPr>
            <w:r w:rsidRPr="0002350A">
              <w:rPr>
                <w:sz w:val="18"/>
                <w:szCs w:val="18"/>
              </w:rPr>
              <w:t xml:space="preserve">Oświadczenia o których mowa powyżej wymagają podpisów notarialnie poświadczonych, przy czym dopuszczalne jest złożenie przez Nabywcę podpisu o którym mowa w usta. 1 pkt 2 i ust. 2 pkt. 3 w obecności pracownika Banku. </w:t>
            </w:r>
          </w:p>
          <w:p w14:paraId="66681AF7" w14:textId="77777777" w:rsidR="00CA49CC" w:rsidRPr="0002350A" w:rsidRDefault="00CA49CC" w:rsidP="00CA49CC">
            <w:pPr>
              <w:spacing w:after="0"/>
              <w:jc w:val="both"/>
              <w:rPr>
                <w:sz w:val="18"/>
                <w:szCs w:val="18"/>
              </w:rPr>
            </w:pPr>
          </w:p>
          <w:p w14:paraId="3C417A9C" w14:textId="77777777" w:rsidR="00A16D1E" w:rsidRDefault="00A16D1E" w:rsidP="00CA49CC">
            <w:pPr>
              <w:pStyle w:val="Akapitzlist"/>
              <w:numPr>
                <w:ilvl w:val="0"/>
                <w:numId w:val="45"/>
              </w:numPr>
              <w:spacing w:after="0"/>
              <w:jc w:val="both"/>
              <w:rPr>
                <w:sz w:val="18"/>
                <w:szCs w:val="18"/>
              </w:rPr>
            </w:pPr>
            <w:r w:rsidRPr="0002350A">
              <w:rPr>
                <w:sz w:val="18"/>
                <w:szCs w:val="18"/>
              </w:rPr>
              <w:t xml:space="preserve">W przypadku odstąpienia od umowy lub rozwiązania umowy deweloperskiej z powodu innego niż odstąpienie na podstawie art. 43 Ustawy Deweloperskiej Deweloper zwróci Nabywcy kwotę dotychczas wypłaconą Deweloperowi przez Bank z Indywidualnego Rachunku Nabywcy, na rachunek wskazany przez Nabywcę, niezwłocznie po otrzymaniu oświadczenia Nabywcy, złożonego w formie pisemnej z podpisami notarialnie poświadczonymi, o zgodzie na wykreślenie z księgi wieczystej roszczenia o przeniesienie własności nieruchomości (w przypadku, gdy został złożony wniosek o wpis takiego roszczenia) lub zawarcia żądania o wykreślenie roszczenia wpisanego na rzecz Nabywcy z księgi wieczystej w akcie notarialnym obejmującym rozwiązanie umowy deweloperskiej, z tym zastrzeżeniem, że jeżeli została zawarta umowa cesji wierzytelności w związku z udzieleniem Nabywcy przez bank kredytu na nabycie budynku mieszkalnego, zwrot środków na rzecz Nabywcy nastąpi zgodnie z postanowieniami tej umowy cesji. </w:t>
            </w:r>
          </w:p>
          <w:p w14:paraId="5F57BCB3" w14:textId="77777777" w:rsidR="00CA49CC" w:rsidRPr="0002350A" w:rsidRDefault="00CA49CC" w:rsidP="00CA49CC">
            <w:pPr>
              <w:pStyle w:val="Akapitzlist"/>
              <w:spacing w:after="0"/>
              <w:ind w:left="360"/>
              <w:jc w:val="both"/>
              <w:rPr>
                <w:sz w:val="18"/>
                <w:szCs w:val="18"/>
              </w:rPr>
            </w:pPr>
          </w:p>
          <w:p w14:paraId="6A57A7A4" w14:textId="3709944E" w:rsidR="00A16D1E" w:rsidRPr="0066261E" w:rsidRDefault="00A16D1E" w:rsidP="00CA49CC">
            <w:pPr>
              <w:rPr>
                <w:sz w:val="18"/>
                <w:szCs w:val="16"/>
              </w:rPr>
            </w:pPr>
            <w:r w:rsidRPr="0002350A">
              <w:rPr>
                <w:sz w:val="18"/>
                <w:szCs w:val="18"/>
              </w:rPr>
              <w:t>Kwoty wpłacone przez Nabywcę w wykonaniu niniejszej Umowy Deweloperskiej podlegają zwrotowi na jego rzecz w wysokości nominalnej dokonanej wpłaty, po potrąceniu ewentualnej kary umownej należnej Deweloperowi, w terminie 30 dni od dnia odstąpienia od niniejszej Umowy Deweloperskiej, z tym że Deweloper może wstrzymać się ze zwrotem kwot należnych Nabywcy do czasu doręczenia Deweloperowi przez Nabywcę oświadczenia, o którym mowa w ust. 3 powyżej. W przypadku, gdy Lokal został już wydany Nabywcy, Deweloper może powstrzymać się ze zwrotem należnych Nabywcy kwot do dnia zwrotu przez Nabywcę Lokalu Deweloperowi.</w:t>
            </w:r>
          </w:p>
        </w:tc>
      </w:tr>
      <w:tr w:rsidR="00A16D1E" w:rsidRPr="0018326A" w14:paraId="74D7577E"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5816E378" w14:textId="77777777" w:rsidR="00A16D1E" w:rsidRPr="00752DA2" w:rsidRDefault="00A16D1E" w:rsidP="00A16D1E">
            <w:pPr>
              <w:spacing w:after="0"/>
              <w:rPr>
                <w:sz w:val="18"/>
                <w:szCs w:val="18"/>
              </w:rPr>
            </w:pPr>
            <w:r w:rsidRPr="00752DA2">
              <w:rPr>
                <w:color w:val="000000"/>
                <w:sz w:val="18"/>
                <w:szCs w:val="18"/>
              </w:rPr>
              <w:lastRenderedPageBreak/>
              <w:t>Nazwa instytucji zapewniającej bezpieczeństwo środków nabywcy</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01214817" w14:textId="2B860728" w:rsidR="00A16D1E" w:rsidRPr="00A16D1E" w:rsidRDefault="00CA49CC" w:rsidP="00A16D1E">
            <w:pPr>
              <w:rPr>
                <w:sz w:val="18"/>
                <w:szCs w:val="18"/>
              </w:rPr>
            </w:pPr>
            <w:r w:rsidRPr="00CA49CC">
              <w:rPr>
                <w:b/>
                <w:bCs/>
                <w:sz w:val="20"/>
                <w:szCs w:val="20"/>
                <w:highlight w:val="yellow"/>
              </w:rPr>
              <w:t>……………..</w:t>
            </w:r>
          </w:p>
        </w:tc>
      </w:tr>
      <w:tr w:rsidR="00461D9E" w:rsidRPr="0018326A" w14:paraId="20F11EE0"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0444855F" w14:textId="77777777" w:rsidR="00461D9E" w:rsidRPr="0018326A" w:rsidRDefault="00461D9E" w:rsidP="00461D9E">
            <w:pPr>
              <w:spacing w:after="0"/>
              <w:rPr>
                <w:sz w:val="18"/>
                <w:szCs w:val="18"/>
                <w:highlight w:val="yellow"/>
              </w:rPr>
            </w:pPr>
            <w:r w:rsidRPr="0018326A">
              <w:rPr>
                <w:color w:val="000000"/>
                <w:sz w:val="18"/>
                <w:szCs w:val="18"/>
              </w:rPr>
              <w:t>Harmonogram przedsięwzięcia deweloperskiego lub zadania inwestycyjnego</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2692411B" w14:textId="77777777" w:rsidR="00461D9E" w:rsidRPr="0018326A" w:rsidRDefault="00461D9E" w:rsidP="00461D9E">
            <w:pPr>
              <w:rPr>
                <w:sz w:val="18"/>
                <w:szCs w:val="18"/>
              </w:rPr>
            </w:pPr>
            <w:r w:rsidRPr="0018326A">
              <w:rPr>
                <w:sz w:val="18"/>
                <w:szCs w:val="18"/>
              </w:rPr>
              <w:t xml:space="preserve"> </w:t>
            </w:r>
          </w:p>
          <w:tbl>
            <w:tblPr>
              <w:tblpPr w:leftFromText="141" w:rightFromText="141" w:vertAnchor="text" w:horzAnchor="margin" w:tblpXSpec="center" w:tblpY="-7477"/>
              <w:tblOverlap w:val="never"/>
              <w:tblW w:w="7083" w:type="dxa"/>
              <w:tblLayout w:type="fixed"/>
              <w:tblCellMar>
                <w:left w:w="70" w:type="dxa"/>
                <w:right w:w="70" w:type="dxa"/>
              </w:tblCellMar>
              <w:tblLook w:val="04A0" w:firstRow="1" w:lastRow="0" w:firstColumn="1" w:lastColumn="0" w:noHBand="0" w:noVBand="1"/>
            </w:tblPr>
            <w:tblGrid>
              <w:gridCol w:w="525"/>
              <w:gridCol w:w="3581"/>
              <w:gridCol w:w="1418"/>
              <w:gridCol w:w="1559"/>
            </w:tblGrid>
            <w:tr w:rsidR="00461D9E" w:rsidRPr="0018326A" w14:paraId="3D1C5ACB" w14:textId="797F85DD" w:rsidTr="00CE41A8">
              <w:trPr>
                <w:trHeight w:val="1266"/>
              </w:trPr>
              <w:tc>
                <w:tcPr>
                  <w:tcW w:w="52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3D85F6E" w14:textId="77777777" w:rsidR="00461D9E" w:rsidRPr="00962159" w:rsidRDefault="00461D9E" w:rsidP="00461D9E">
                  <w:pPr>
                    <w:spacing w:after="0" w:line="240" w:lineRule="auto"/>
                    <w:rPr>
                      <w:rFonts w:ascii="Arial" w:hAnsi="Arial" w:cs="Arial"/>
                      <w:color w:val="000000"/>
                      <w:sz w:val="18"/>
                      <w:szCs w:val="18"/>
                    </w:rPr>
                  </w:pPr>
                  <w:r w:rsidRPr="00962159">
                    <w:rPr>
                      <w:sz w:val="18"/>
                      <w:szCs w:val="18"/>
                    </w:rPr>
                    <w:lastRenderedPageBreak/>
                    <w:t>LP</w:t>
                  </w:r>
                </w:p>
              </w:tc>
              <w:tc>
                <w:tcPr>
                  <w:tcW w:w="3581" w:type="dxa"/>
                  <w:tcBorders>
                    <w:top w:val="single" w:sz="4" w:space="0" w:color="000000"/>
                    <w:left w:val="nil"/>
                    <w:bottom w:val="single" w:sz="4" w:space="0" w:color="000000"/>
                    <w:right w:val="single" w:sz="4" w:space="0" w:color="000000"/>
                  </w:tcBorders>
                  <w:shd w:val="clear" w:color="D9D9D9" w:fill="D9D9D9"/>
                  <w:vAlign w:val="center"/>
                  <w:hideMark/>
                </w:tcPr>
                <w:p w14:paraId="2ED1E8C3" w14:textId="77777777" w:rsidR="00461D9E" w:rsidRPr="00962159" w:rsidRDefault="00461D9E" w:rsidP="00461D9E">
                  <w:pPr>
                    <w:spacing w:after="0" w:line="240" w:lineRule="auto"/>
                    <w:jc w:val="center"/>
                    <w:rPr>
                      <w:sz w:val="18"/>
                      <w:szCs w:val="18"/>
                    </w:rPr>
                  </w:pPr>
                  <w:r w:rsidRPr="00962159">
                    <w:rPr>
                      <w:sz w:val="18"/>
                      <w:szCs w:val="18"/>
                    </w:rPr>
                    <w:t>Etapy realizacji przedsięwzięcia inwestycyjnego</w:t>
                  </w:r>
                </w:p>
              </w:tc>
              <w:tc>
                <w:tcPr>
                  <w:tcW w:w="1418" w:type="dxa"/>
                  <w:tcBorders>
                    <w:top w:val="single" w:sz="4" w:space="0" w:color="000000"/>
                    <w:left w:val="nil"/>
                    <w:bottom w:val="single" w:sz="4" w:space="0" w:color="000000"/>
                    <w:right w:val="single" w:sz="4" w:space="0" w:color="auto"/>
                  </w:tcBorders>
                  <w:shd w:val="clear" w:color="D9D9D9" w:fill="D9D9D9"/>
                  <w:vAlign w:val="center"/>
                  <w:hideMark/>
                </w:tcPr>
                <w:p w14:paraId="45DB4699" w14:textId="77777777" w:rsidR="00461D9E" w:rsidRPr="00962159" w:rsidRDefault="00461D9E" w:rsidP="00461D9E">
                  <w:pPr>
                    <w:spacing w:after="0" w:line="240" w:lineRule="auto"/>
                    <w:jc w:val="center"/>
                    <w:rPr>
                      <w:sz w:val="18"/>
                      <w:szCs w:val="18"/>
                    </w:rPr>
                  </w:pPr>
                  <w:r w:rsidRPr="00962159">
                    <w:rPr>
                      <w:sz w:val="18"/>
                      <w:szCs w:val="18"/>
                    </w:rPr>
                    <w:t>Procentowy podział kosztów poszczególnych etapów w całkowitym przedsięwzięciu inwestycyjnym</w:t>
                  </w:r>
                </w:p>
              </w:tc>
              <w:tc>
                <w:tcPr>
                  <w:tcW w:w="1559" w:type="dxa"/>
                  <w:tcBorders>
                    <w:top w:val="single" w:sz="4" w:space="0" w:color="000000"/>
                    <w:left w:val="single" w:sz="4" w:space="0" w:color="auto"/>
                    <w:bottom w:val="single" w:sz="4" w:space="0" w:color="000000"/>
                    <w:right w:val="single" w:sz="4" w:space="0" w:color="000000"/>
                  </w:tcBorders>
                  <w:shd w:val="clear" w:color="D9D9D9" w:fill="D9D9D9"/>
                  <w:vAlign w:val="center"/>
                </w:tcPr>
                <w:p w14:paraId="2C3F7449" w14:textId="13CBD167" w:rsidR="00461D9E" w:rsidRPr="00962159" w:rsidRDefault="00461D9E" w:rsidP="00461D9E">
                  <w:pPr>
                    <w:spacing w:after="0" w:line="240" w:lineRule="auto"/>
                    <w:jc w:val="center"/>
                    <w:rPr>
                      <w:sz w:val="18"/>
                      <w:szCs w:val="18"/>
                    </w:rPr>
                  </w:pPr>
                  <w:r w:rsidRPr="00962159">
                    <w:rPr>
                      <w:sz w:val="18"/>
                      <w:szCs w:val="18"/>
                    </w:rPr>
                    <w:t>Termin zakończenia etapu</w:t>
                  </w:r>
                </w:p>
              </w:tc>
            </w:tr>
            <w:tr w:rsidR="00CA49CC" w:rsidRPr="0018326A" w14:paraId="66870807" w14:textId="1E21C83F" w:rsidTr="00CE41A8">
              <w:trPr>
                <w:trHeight w:val="648"/>
              </w:trPr>
              <w:tc>
                <w:tcPr>
                  <w:tcW w:w="525" w:type="dxa"/>
                  <w:tcBorders>
                    <w:top w:val="nil"/>
                    <w:left w:val="single" w:sz="4" w:space="0" w:color="000000"/>
                    <w:bottom w:val="single" w:sz="4" w:space="0" w:color="000000"/>
                    <w:right w:val="single" w:sz="4" w:space="0" w:color="000000"/>
                  </w:tcBorders>
                  <w:noWrap/>
                  <w:vAlign w:val="center"/>
                  <w:hideMark/>
                </w:tcPr>
                <w:p w14:paraId="03D3FAA9" w14:textId="02F5E15D" w:rsidR="00CA49CC" w:rsidRPr="00CE41A8" w:rsidRDefault="00CE41A8" w:rsidP="00CE41A8">
                  <w:pPr>
                    <w:rPr>
                      <w:sz w:val="20"/>
                      <w:szCs w:val="18"/>
                    </w:rPr>
                  </w:pPr>
                  <w:r w:rsidRPr="00CE41A8">
                    <w:rPr>
                      <w:sz w:val="20"/>
                      <w:szCs w:val="18"/>
                    </w:rPr>
                    <w:t>1</w:t>
                  </w:r>
                </w:p>
              </w:tc>
              <w:tc>
                <w:tcPr>
                  <w:tcW w:w="3581" w:type="dxa"/>
                  <w:tcBorders>
                    <w:top w:val="nil"/>
                    <w:left w:val="nil"/>
                    <w:bottom w:val="single" w:sz="4" w:space="0" w:color="000000"/>
                    <w:right w:val="single" w:sz="4" w:space="0" w:color="000000"/>
                  </w:tcBorders>
                  <w:vAlign w:val="center"/>
                </w:tcPr>
                <w:p w14:paraId="7643E1DC" w14:textId="5BACE852" w:rsidR="00CA49CC" w:rsidRPr="00CE41A8" w:rsidRDefault="00CE41A8" w:rsidP="00CE41A8">
                  <w:pPr>
                    <w:rPr>
                      <w:sz w:val="18"/>
                      <w:szCs w:val="16"/>
                    </w:rPr>
                  </w:pPr>
                  <w:r w:rsidRPr="00CE41A8">
                    <w:rPr>
                      <w:sz w:val="18"/>
                      <w:szCs w:val="16"/>
                    </w:rPr>
                    <w:t>Projekt budowlany - uzyskanie pozwolenia roboty ziemne, płyta fundamentowa, ściany i strop hali garażowej</w:t>
                  </w:r>
                </w:p>
              </w:tc>
              <w:tc>
                <w:tcPr>
                  <w:tcW w:w="1418" w:type="dxa"/>
                  <w:tcBorders>
                    <w:top w:val="nil"/>
                    <w:left w:val="nil"/>
                    <w:bottom w:val="single" w:sz="4" w:space="0" w:color="000000"/>
                    <w:right w:val="single" w:sz="4" w:space="0" w:color="auto"/>
                  </w:tcBorders>
                  <w:noWrap/>
                </w:tcPr>
                <w:p w14:paraId="163AACB1" w14:textId="77777777" w:rsidR="00CE41A8" w:rsidRPr="00CE41A8" w:rsidRDefault="00CE41A8" w:rsidP="00CA49CC">
                  <w:pPr>
                    <w:spacing w:after="0" w:line="240" w:lineRule="auto"/>
                    <w:jc w:val="center"/>
                    <w:rPr>
                      <w:b/>
                      <w:bCs/>
                      <w:sz w:val="18"/>
                      <w:szCs w:val="18"/>
                    </w:rPr>
                  </w:pPr>
                </w:p>
                <w:p w14:paraId="21503C25" w14:textId="77777777" w:rsidR="00CE41A8" w:rsidRPr="00CE41A8" w:rsidRDefault="00CE41A8" w:rsidP="00CA49CC">
                  <w:pPr>
                    <w:spacing w:after="0" w:line="240" w:lineRule="auto"/>
                    <w:jc w:val="center"/>
                    <w:rPr>
                      <w:b/>
                      <w:bCs/>
                      <w:sz w:val="18"/>
                      <w:szCs w:val="18"/>
                    </w:rPr>
                  </w:pPr>
                </w:p>
                <w:p w14:paraId="253CA52B" w14:textId="3F119A10" w:rsidR="00CA49CC" w:rsidRPr="00CE41A8" w:rsidRDefault="00CE41A8" w:rsidP="00CA49CC">
                  <w:pPr>
                    <w:spacing w:after="0" w:line="240" w:lineRule="auto"/>
                    <w:jc w:val="center"/>
                    <w:rPr>
                      <w:sz w:val="18"/>
                      <w:szCs w:val="18"/>
                    </w:rPr>
                  </w:pPr>
                  <w:r w:rsidRPr="00CE41A8">
                    <w:rPr>
                      <w:b/>
                      <w:bCs/>
                      <w:sz w:val="18"/>
                      <w:szCs w:val="18"/>
                    </w:rPr>
                    <w:t>23,20</w:t>
                  </w:r>
                </w:p>
              </w:tc>
              <w:tc>
                <w:tcPr>
                  <w:tcW w:w="1559" w:type="dxa"/>
                  <w:tcBorders>
                    <w:top w:val="nil"/>
                    <w:left w:val="single" w:sz="4" w:space="0" w:color="auto"/>
                    <w:bottom w:val="single" w:sz="4" w:space="0" w:color="000000"/>
                    <w:right w:val="single" w:sz="4" w:space="0" w:color="000000"/>
                  </w:tcBorders>
                </w:tcPr>
                <w:p w14:paraId="287B8077" w14:textId="77777777" w:rsidR="00CE41A8" w:rsidRPr="00CE41A8" w:rsidRDefault="00CE41A8" w:rsidP="00CA49CC">
                  <w:pPr>
                    <w:spacing w:after="0" w:line="240" w:lineRule="auto"/>
                    <w:jc w:val="center"/>
                    <w:rPr>
                      <w:b/>
                      <w:bCs/>
                      <w:sz w:val="18"/>
                      <w:szCs w:val="18"/>
                    </w:rPr>
                  </w:pPr>
                </w:p>
                <w:p w14:paraId="4F8EBCB0" w14:textId="77777777" w:rsidR="00CE41A8" w:rsidRPr="00CE41A8" w:rsidRDefault="00CE41A8" w:rsidP="00CA49CC">
                  <w:pPr>
                    <w:spacing w:after="0" w:line="240" w:lineRule="auto"/>
                    <w:jc w:val="center"/>
                    <w:rPr>
                      <w:b/>
                      <w:bCs/>
                      <w:sz w:val="18"/>
                      <w:szCs w:val="18"/>
                    </w:rPr>
                  </w:pPr>
                </w:p>
                <w:p w14:paraId="110BE0E5" w14:textId="1E20133D" w:rsidR="00CA49CC" w:rsidRPr="00CE41A8" w:rsidRDefault="00CE41A8" w:rsidP="00CA49CC">
                  <w:pPr>
                    <w:spacing w:after="0" w:line="240" w:lineRule="auto"/>
                    <w:jc w:val="center"/>
                    <w:rPr>
                      <w:sz w:val="18"/>
                      <w:szCs w:val="18"/>
                    </w:rPr>
                  </w:pPr>
                  <w:r w:rsidRPr="00CE41A8">
                    <w:rPr>
                      <w:b/>
                      <w:bCs/>
                      <w:sz w:val="18"/>
                      <w:szCs w:val="18"/>
                    </w:rPr>
                    <w:t>30.03.2026</w:t>
                  </w:r>
                </w:p>
              </w:tc>
            </w:tr>
            <w:tr w:rsidR="00CA49CC" w:rsidRPr="0018326A" w14:paraId="55EE88DE" w14:textId="708C37A5" w:rsidTr="00CE41A8">
              <w:trPr>
                <w:trHeight w:val="648"/>
              </w:trPr>
              <w:tc>
                <w:tcPr>
                  <w:tcW w:w="525" w:type="dxa"/>
                  <w:tcBorders>
                    <w:top w:val="nil"/>
                    <w:left w:val="single" w:sz="4" w:space="0" w:color="000000"/>
                    <w:bottom w:val="single" w:sz="4" w:space="0" w:color="000000"/>
                    <w:right w:val="single" w:sz="4" w:space="0" w:color="000000"/>
                  </w:tcBorders>
                  <w:noWrap/>
                  <w:vAlign w:val="center"/>
                  <w:hideMark/>
                </w:tcPr>
                <w:p w14:paraId="654BDDD1" w14:textId="0D66306F" w:rsidR="00CA49CC" w:rsidRPr="00CE41A8" w:rsidRDefault="00CE41A8" w:rsidP="00CE41A8">
                  <w:pPr>
                    <w:rPr>
                      <w:sz w:val="20"/>
                      <w:szCs w:val="18"/>
                    </w:rPr>
                  </w:pPr>
                  <w:r w:rsidRPr="00CE41A8">
                    <w:rPr>
                      <w:sz w:val="20"/>
                      <w:szCs w:val="18"/>
                    </w:rPr>
                    <w:t>2</w:t>
                  </w:r>
                </w:p>
              </w:tc>
              <w:tc>
                <w:tcPr>
                  <w:tcW w:w="3581" w:type="dxa"/>
                  <w:tcBorders>
                    <w:top w:val="nil"/>
                    <w:left w:val="nil"/>
                    <w:bottom w:val="single" w:sz="4" w:space="0" w:color="000000"/>
                    <w:right w:val="single" w:sz="4" w:space="0" w:color="000000"/>
                  </w:tcBorders>
                </w:tcPr>
                <w:p w14:paraId="2A897CA2" w14:textId="069E502B" w:rsidR="00CA49CC" w:rsidRPr="00CE41A8" w:rsidRDefault="00CE41A8" w:rsidP="00CE41A8">
                  <w:pPr>
                    <w:rPr>
                      <w:sz w:val="18"/>
                      <w:szCs w:val="16"/>
                    </w:rPr>
                  </w:pPr>
                  <w:r w:rsidRPr="00CE41A8">
                    <w:rPr>
                      <w:sz w:val="18"/>
                      <w:szCs w:val="16"/>
                    </w:rPr>
                    <w:t xml:space="preserve">Ściany konstrukcyjne i stropy kondygnacji </w:t>
                  </w:r>
                  <w:r>
                    <w:rPr>
                      <w:sz w:val="18"/>
                      <w:szCs w:val="16"/>
                    </w:rPr>
                    <w:t>I</w:t>
                  </w:r>
                  <w:r w:rsidRPr="00CE41A8">
                    <w:rPr>
                      <w:sz w:val="18"/>
                      <w:szCs w:val="16"/>
                    </w:rPr>
                    <w:t xml:space="preserve">, </w:t>
                  </w:r>
                  <w:r>
                    <w:rPr>
                      <w:sz w:val="18"/>
                      <w:szCs w:val="16"/>
                    </w:rPr>
                    <w:t>II</w:t>
                  </w:r>
                </w:p>
              </w:tc>
              <w:tc>
                <w:tcPr>
                  <w:tcW w:w="1418" w:type="dxa"/>
                  <w:tcBorders>
                    <w:top w:val="nil"/>
                    <w:left w:val="nil"/>
                    <w:bottom w:val="single" w:sz="4" w:space="0" w:color="000000"/>
                    <w:right w:val="single" w:sz="4" w:space="0" w:color="auto"/>
                  </w:tcBorders>
                  <w:noWrap/>
                </w:tcPr>
                <w:p w14:paraId="65603448" w14:textId="77777777" w:rsidR="00CE41A8" w:rsidRPr="00CE41A8" w:rsidRDefault="00CE41A8" w:rsidP="00CA49CC">
                  <w:pPr>
                    <w:spacing w:after="0" w:line="240" w:lineRule="auto"/>
                    <w:jc w:val="center"/>
                    <w:rPr>
                      <w:b/>
                      <w:bCs/>
                      <w:sz w:val="18"/>
                      <w:szCs w:val="18"/>
                    </w:rPr>
                  </w:pPr>
                </w:p>
                <w:p w14:paraId="777F274B" w14:textId="63FFBF71" w:rsidR="00CA49CC" w:rsidRPr="00CE41A8" w:rsidRDefault="00CE41A8" w:rsidP="00CA49CC">
                  <w:pPr>
                    <w:spacing w:after="0" w:line="240" w:lineRule="auto"/>
                    <w:jc w:val="center"/>
                    <w:rPr>
                      <w:sz w:val="18"/>
                      <w:szCs w:val="18"/>
                    </w:rPr>
                  </w:pPr>
                  <w:r w:rsidRPr="00CE41A8">
                    <w:rPr>
                      <w:b/>
                      <w:bCs/>
                      <w:sz w:val="18"/>
                      <w:szCs w:val="18"/>
                    </w:rPr>
                    <w:t>13,61</w:t>
                  </w:r>
                </w:p>
              </w:tc>
              <w:tc>
                <w:tcPr>
                  <w:tcW w:w="1559" w:type="dxa"/>
                  <w:tcBorders>
                    <w:top w:val="nil"/>
                    <w:left w:val="single" w:sz="4" w:space="0" w:color="auto"/>
                    <w:bottom w:val="single" w:sz="4" w:space="0" w:color="000000"/>
                    <w:right w:val="single" w:sz="4" w:space="0" w:color="000000"/>
                  </w:tcBorders>
                </w:tcPr>
                <w:p w14:paraId="771FD44E" w14:textId="77777777" w:rsidR="00CE41A8" w:rsidRPr="00CE41A8" w:rsidRDefault="00CE41A8" w:rsidP="00CA49CC">
                  <w:pPr>
                    <w:spacing w:after="0" w:line="240" w:lineRule="auto"/>
                    <w:jc w:val="center"/>
                    <w:rPr>
                      <w:b/>
                      <w:bCs/>
                      <w:sz w:val="18"/>
                      <w:szCs w:val="18"/>
                    </w:rPr>
                  </w:pPr>
                </w:p>
                <w:p w14:paraId="4E3FB8F7" w14:textId="24FC1E36" w:rsidR="00CA49CC" w:rsidRPr="00CE41A8" w:rsidRDefault="00CE41A8" w:rsidP="00CA49CC">
                  <w:pPr>
                    <w:spacing w:after="0" w:line="240" w:lineRule="auto"/>
                    <w:jc w:val="center"/>
                    <w:rPr>
                      <w:sz w:val="18"/>
                      <w:szCs w:val="18"/>
                    </w:rPr>
                  </w:pPr>
                  <w:r w:rsidRPr="00CE41A8">
                    <w:rPr>
                      <w:b/>
                      <w:bCs/>
                      <w:sz w:val="18"/>
                      <w:szCs w:val="18"/>
                    </w:rPr>
                    <w:t>30.06.2026</w:t>
                  </w:r>
                </w:p>
              </w:tc>
            </w:tr>
            <w:tr w:rsidR="00CA49CC" w:rsidRPr="0018326A" w14:paraId="0C0D5A47" w14:textId="47FA36F4" w:rsidTr="00CE41A8">
              <w:trPr>
                <w:trHeight w:val="648"/>
              </w:trPr>
              <w:tc>
                <w:tcPr>
                  <w:tcW w:w="525" w:type="dxa"/>
                  <w:tcBorders>
                    <w:top w:val="nil"/>
                    <w:left w:val="single" w:sz="4" w:space="0" w:color="000000"/>
                    <w:bottom w:val="single" w:sz="4" w:space="0" w:color="000000"/>
                    <w:right w:val="single" w:sz="4" w:space="0" w:color="000000"/>
                  </w:tcBorders>
                  <w:noWrap/>
                  <w:vAlign w:val="center"/>
                  <w:hideMark/>
                </w:tcPr>
                <w:p w14:paraId="3B059433" w14:textId="0D426E07" w:rsidR="00CA49CC" w:rsidRPr="00CE41A8" w:rsidRDefault="00CE41A8" w:rsidP="00CE41A8">
                  <w:pPr>
                    <w:rPr>
                      <w:sz w:val="20"/>
                      <w:szCs w:val="18"/>
                    </w:rPr>
                  </w:pPr>
                  <w:r w:rsidRPr="00CE41A8">
                    <w:rPr>
                      <w:sz w:val="20"/>
                      <w:szCs w:val="18"/>
                    </w:rPr>
                    <w:t>3</w:t>
                  </w:r>
                </w:p>
              </w:tc>
              <w:tc>
                <w:tcPr>
                  <w:tcW w:w="3581" w:type="dxa"/>
                  <w:tcBorders>
                    <w:top w:val="nil"/>
                    <w:left w:val="nil"/>
                    <w:bottom w:val="single" w:sz="4" w:space="0" w:color="000000"/>
                    <w:right w:val="single" w:sz="4" w:space="0" w:color="000000"/>
                  </w:tcBorders>
                </w:tcPr>
                <w:p w14:paraId="6013436A" w14:textId="39D7F154" w:rsidR="00CA49CC" w:rsidRPr="00CE41A8" w:rsidRDefault="00CE41A8" w:rsidP="00CE41A8">
                  <w:pPr>
                    <w:rPr>
                      <w:sz w:val="18"/>
                      <w:szCs w:val="16"/>
                    </w:rPr>
                  </w:pPr>
                  <w:r w:rsidRPr="00CE41A8">
                    <w:rPr>
                      <w:sz w:val="18"/>
                      <w:szCs w:val="16"/>
                    </w:rPr>
                    <w:t xml:space="preserve">Stan surowy otwarty, ściany konstrukcyjne i stropy kondygnacji </w:t>
                  </w:r>
                  <w:r>
                    <w:rPr>
                      <w:sz w:val="18"/>
                      <w:szCs w:val="16"/>
                    </w:rPr>
                    <w:t>III</w:t>
                  </w:r>
                  <w:r w:rsidRPr="00CE41A8">
                    <w:rPr>
                      <w:sz w:val="18"/>
                      <w:szCs w:val="16"/>
                    </w:rPr>
                    <w:t xml:space="preserve">, </w:t>
                  </w:r>
                  <w:r>
                    <w:rPr>
                      <w:sz w:val="18"/>
                      <w:szCs w:val="16"/>
                    </w:rPr>
                    <w:t>IV</w:t>
                  </w:r>
                  <w:r w:rsidRPr="00CE41A8">
                    <w:rPr>
                      <w:sz w:val="18"/>
                      <w:szCs w:val="16"/>
                    </w:rPr>
                    <w:t>,  montaż konstrukcji więźby dachowej</w:t>
                  </w:r>
                </w:p>
              </w:tc>
              <w:tc>
                <w:tcPr>
                  <w:tcW w:w="1418" w:type="dxa"/>
                  <w:tcBorders>
                    <w:top w:val="nil"/>
                    <w:left w:val="nil"/>
                    <w:bottom w:val="single" w:sz="4" w:space="0" w:color="000000"/>
                    <w:right w:val="single" w:sz="4" w:space="0" w:color="auto"/>
                  </w:tcBorders>
                  <w:noWrap/>
                </w:tcPr>
                <w:p w14:paraId="60A8AAA4" w14:textId="77777777" w:rsidR="00CE41A8" w:rsidRPr="00CE41A8" w:rsidRDefault="00CE41A8" w:rsidP="00CA49CC">
                  <w:pPr>
                    <w:spacing w:after="0" w:line="240" w:lineRule="auto"/>
                    <w:jc w:val="center"/>
                    <w:rPr>
                      <w:b/>
                      <w:bCs/>
                      <w:sz w:val="18"/>
                      <w:szCs w:val="18"/>
                    </w:rPr>
                  </w:pPr>
                </w:p>
                <w:p w14:paraId="671CD0B2" w14:textId="77777777" w:rsidR="00CE41A8" w:rsidRPr="00CE41A8" w:rsidRDefault="00CE41A8" w:rsidP="00CA49CC">
                  <w:pPr>
                    <w:spacing w:after="0" w:line="240" w:lineRule="auto"/>
                    <w:jc w:val="center"/>
                    <w:rPr>
                      <w:b/>
                      <w:bCs/>
                      <w:sz w:val="18"/>
                      <w:szCs w:val="18"/>
                    </w:rPr>
                  </w:pPr>
                </w:p>
                <w:p w14:paraId="5E0E2002" w14:textId="31E98840" w:rsidR="00CA49CC" w:rsidRPr="00CE41A8" w:rsidRDefault="00CE41A8" w:rsidP="00CA49CC">
                  <w:pPr>
                    <w:spacing w:after="0" w:line="240" w:lineRule="auto"/>
                    <w:jc w:val="center"/>
                    <w:rPr>
                      <w:sz w:val="18"/>
                      <w:szCs w:val="18"/>
                    </w:rPr>
                  </w:pPr>
                  <w:r w:rsidRPr="00CE41A8">
                    <w:rPr>
                      <w:b/>
                      <w:bCs/>
                      <w:sz w:val="18"/>
                      <w:szCs w:val="18"/>
                    </w:rPr>
                    <w:t>14,40</w:t>
                  </w:r>
                </w:p>
              </w:tc>
              <w:tc>
                <w:tcPr>
                  <w:tcW w:w="1559" w:type="dxa"/>
                  <w:tcBorders>
                    <w:top w:val="nil"/>
                    <w:left w:val="single" w:sz="4" w:space="0" w:color="auto"/>
                    <w:bottom w:val="single" w:sz="4" w:space="0" w:color="000000"/>
                    <w:right w:val="single" w:sz="4" w:space="0" w:color="000000"/>
                  </w:tcBorders>
                </w:tcPr>
                <w:p w14:paraId="51A3B954" w14:textId="77777777" w:rsidR="00CE41A8" w:rsidRPr="00CE41A8" w:rsidRDefault="00CE41A8" w:rsidP="00CA49CC">
                  <w:pPr>
                    <w:spacing w:after="0" w:line="240" w:lineRule="auto"/>
                    <w:jc w:val="center"/>
                    <w:rPr>
                      <w:b/>
                      <w:bCs/>
                      <w:sz w:val="18"/>
                      <w:szCs w:val="18"/>
                    </w:rPr>
                  </w:pPr>
                </w:p>
                <w:p w14:paraId="441BA72E" w14:textId="77777777" w:rsidR="00CE41A8" w:rsidRPr="00CE41A8" w:rsidRDefault="00CE41A8" w:rsidP="00CA49CC">
                  <w:pPr>
                    <w:spacing w:after="0" w:line="240" w:lineRule="auto"/>
                    <w:jc w:val="center"/>
                    <w:rPr>
                      <w:b/>
                      <w:bCs/>
                      <w:sz w:val="18"/>
                      <w:szCs w:val="18"/>
                    </w:rPr>
                  </w:pPr>
                </w:p>
                <w:p w14:paraId="651B1690" w14:textId="577F2783" w:rsidR="00CA49CC" w:rsidRPr="00CE41A8" w:rsidRDefault="00CE41A8" w:rsidP="00CA49CC">
                  <w:pPr>
                    <w:spacing w:after="0" w:line="240" w:lineRule="auto"/>
                    <w:jc w:val="center"/>
                    <w:rPr>
                      <w:sz w:val="18"/>
                      <w:szCs w:val="18"/>
                    </w:rPr>
                  </w:pPr>
                  <w:r w:rsidRPr="00CE41A8">
                    <w:rPr>
                      <w:b/>
                      <w:bCs/>
                      <w:sz w:val="18"/>
                      <w:szCs w:val="18"/>
                    </w:rPr>
                    <w:t>30.11.2026</w:t>
                  </w:r>
                </w:p>
              </w:tc>
            </w:tr>
            <w:tr w:rsidR="00CA49CC" w:rsidRPr="0018326A" w14:paraId="63E962B6" w14:textId="517EE94B" w:rsidTr="00CE41A8">
              <w:trPr>
                <w:trHeight w:val="864"/>
              </w:trPr>
              <w:tc>
                <w:tcPr>
                  <w:tcW w:w="525" w:type="dxa"/>
                  <w:tcBorders>
                    <w:top w:val="nil"/>
                    <w:left w:val="single" w:sz="4" w:space="0" w:color="000000"/>
                    <w:bottom w:val="single" w:sz="4" w:space="0" w:color="000000"/>
                    <w:right w:val="single" w:sz="4" w:space="0" w:color="000000"/>
                  </w:tcBorders>
                  <w:noWrap/>
                  <w:vAlign w:val="center"/>
                  <w:hideMark/>
                </w:tcPr>
                <w:p w14:paraId="774D169A" w14:textId="5FCDF8FF" w:rsidR="00CA49CC" w:rsidRPr="00CE41A8" w:rsidRDefault="00CE41A8" w:rsidP="00CE41A8">
                  <w:pPr>
                    <w:rPr>
                      <w:sz w:val="20"/>
                      <w:szCs w:val="18"/>
                    </w:rPr>
                  </w:pPr>
                  <w:r w:rsidRPr="00CE41A8">
                    <w:rPr>
                      <w:sz w:val="20"/>
                      <w:szCs w:val="18"/>
                    </w:rPr>
                    <w:t>4</w:t>
                  </w:r>
                </w:p>
              </w:tc>
              <w:tc>
                <w:tcPr>
                  <w:tcW w:w="3581" w:type="dxa"/>
                  <w:tcBorders>
                    <w:top w:val="nil"/>
                    <w:left w:val="nil"/>
                    <w:bottom w:val="single" w:sz="4" w:space="0" w:color="000000"/>
                    <w:right w:val="single" w:sz="4" w:space="0" w:color="000000"/>
                  </w:tcBorders>
                </w:tcPr>
                <w:p w14:paraId="636916B7" w14:textId="266E9657" w:rsidR="00CA49CC" w:rsidRPr="00CE41A8" w:rsidRDefault="00CE41A8" w:rsidP="00CE41A8">
                  <w:pPr>
                    <w:rPr>
                      <w:sz w:val="18"/>
                      <w:szCs w:val="16"/>
                    </w:rPr>
                  </w:pPr>
                  <w:r w:rsidRPr="00CE41A8">
                    <w:rPr>
                      <w:sz w:val="18"/>
                      <w:szCs w:val="16"/>
                    </w:rPr>
                    <w:t>Ścianki działowe, stolarka okienna (bez montażu witryn na klatkach schodowych), hydroizolacja ścian hali garażowej, instalacja elektryczna w mieszkaniach (bez osprzętu)</w:t>
                  </w:r>
                </w:p>
              </w:tc>
              <w:tc>
                <w:tcPr>
                  <w:tcW w:w="1418" w:type="dxa"/>
                  <w:tcBorders>
                    <w:top w:val="nil"/>
                    <w:left w:val="nil"/>
                    <w:bottom w:val="single" w:sz="4" w:space="0" w:color="000000"/>
                    <w:right w:val="single" w:sz="4" w:space="0" w:color="auto"/>
                  </w:tcBorders>
                  <w:noWrap/>
                </w:tcPr>
                <w:p w14:paraId="4A5F192A" w14:textId="77777777" w:rsidR="00CE41A8" w:rsidRPr="00CE41A8" w:rsidRDefault="00CE41A8" w:rsidP="00CA49CC">
                  <w:pPr>
                    <w:spacing w:after="0" w:line="240" w:lineRule="auto"/>
                    <w:jc w:val="center"/>
                    <w:rPr>
                      <w:b/>
                      <w:bCs/>
                      <w:sz w:val="18"/>
                      <w:szCs w:val="18"/>
                    </w:rPr>
                  </w:pPr>
                </w:p>
                <w:p w14:paraId="5A3B9225" w14:textId="77777777" w:rsidR="00CE41A8" w:rsidRPr="00CE41A8" w:rsidRDefault="00CE41A8" w:rsidP="00CA49CC">
                  <w:pPr>
                    <w:spacing w:after="0" w:line="240" w:lineRule="auto"/>
                    <w:jc w:val="center"/>
                    <w:rPr>
                      <w:b/>
                      <w:bCs/>
                      <w:sz w:val="18"/>
                      <w:szCs w:val="18"/>
                    </w:rPr>
                  </w:pPr>
                </w:p>
                <w:p w14:paraId="51996596" w14:textId="41A74DC3" w:rsidR="00CA49CC" w:rsidRPr="00CE41A8" w:rsidRDefault="00CE41A8" w:rsidP="00CA49CC">
                  <w:pPr>
                    <w:spacing w:after="0" w:line="240" w:lineRule="auto"/>
                    <w:jc w:val="center"/>
                    <w:rPr>
                      <w:sz w:val="18"/>
                      <w:szCs w:val="18"/>
                    </w:rPr>
                  </w:pPr>
                  <w:r w:rsidRPr="00CE41A8">
                    <w:rPr>
                      <w:b/>
                      <w:bCs/>
                      <w:sz w:val="18"/>
                      <w:szCs w:val="18"/>
                    </w:rPr>
                    <w:t>12,63</w:t>
                  </w:r>
                </w:p>
              </w:tc>
              <w:tc>
                <w:tcPr>
                  <w:tcW w:w="1559" w:type="dxa"/>
                  <w:tcBorders>
                    <w:top w:val="nil"/>
                    <w:left w:val="single" w:sz="4" w:space="0" w:color="auto"/>
                    <w:bottom w:val="single" w:sz="4" w:space="0" w:color="000000"/>
                    <w:right w:val="single" w:sz="4" w:space="0" w:color="000000"/>
                  </w:tcBorders>
                </w:tcPr>
                <w:p w14:paraId="3BBFF2B8" w14:textId="77777777" w:rsidR="00CE41A8" w:rsidRPr="00CE41A8" w:rsidRDefault="00CE41A8" w:rsidP="00CA49CC">
                  <w:pPr>
                    <w:spacing w:after="0" w:line="240" w:lineRule="auto"/>
                    <w:jc w:val="center"/>
                    <w:rPr>
                      <w:b/>
                      <w:bCs/>
                      <w:sz w:val="18"/>
                      <w:szCs w:val="18"/>
                    </w:rPr>
                  </w:pPr>
                </w:p>
                <w:p w14:paraId="71E8BA0F" w14:textId="77777777" w:rsidR="00CE41A8" w:rsidRPr="00CE41A8" w:rsidRDefault="00CE41A8" w:rsidP="00CA49CC">
                  <w:pPr>
                    <w:spacing w:after="0" w:line="240" w:lineRule="auto"/>
                    <w:jc w:val="center"/>
                    <w:rPr>
                      <w:b/>
                      <w:bCs/>
                      <w:sz w:val="18"/>
                      <w:szCs w:val="18"/>
                    </w:rPr>
                  </w:pPr>
                </w:p>
                <w:p w14:paraId="0CC8D21E" w14:textId="4DCF5E40" w:rsidR="00CA49CC" w:rsidRPr="00CE41A8" w:rsidRDefault="00CE41A8" w:rsidP="00CE41A8">
                  <w:pPr>
                    <w:spacing w:after="0" w:line="240" w:lineRule="auto"/>
                    <w:jc w:val="center"/>
                    <w:rPr>
                      <w:sz w:val="18"/>
                      <w:szCs w:val="18"/>
                    </w:rPr>
                  </w:pPr>
                  <w:r w:rsidRPr="00CE41A8">
                    <w:rPr>
                      <w:b/>
                      <w:bCs/>
                      <w:sz w:val="18"/>
                      <w:szCs w:val="18"/>
                    </w:rPr>
                    <w:t>31.03.2027</w:t>
                  </w:r>
                </w:p>
              </w:tc>
            </w:tr>
            <w:tr w:rsidR="00CA49CC" w:rsidRPr="0018326A" w14:paraId="51C7FFFD" w14:textId="7A0EC795" w:rsidTr="00CE41A8">
              <w:trPr>
                <w:trHeight w:val="648"/>
              </w:trPr>
              <w:tc>
                <w:tcPr>
                  <w:tcW w:w="525" w:type="dxa"/>
                  <w:tcBorders>
                    <w:top w:val="nil"/>
                    <w:left w:val="single" w:sz="4" w:space="0" w:color="000000"/>
                    <w:bottom w:val="single" w:sz="4" w:space="0" w:color="000000"/>
                    <w:right w:val="single" w:sz="4" w:space="0" w:color="000000"/>
                  </w:tcBorders>
                  <w:noWrap/>
                  <w:vAlign w:val="center"/>
                  <w:hideMark/>
                </w:tcPr>
                <w:p w14:paraId="0B7CBB3C" w14:textId="48DFDEB8" w:rsidR="00CA49CC" w:rsidRPr="00CE41A8" w:rsidRDefault="00CE41A8" w:rsidP="00CE41A8">
                  <w:pPr>
                    <w:rPr>
                      <w:sz w:val="20"/>
                      <w:szCs w:val="18"/>
                    </w:rPr>
                  </w:pPr>
                  <w:r w:rsidRPr="00CE41A8">
                    <w:rPr>
                      <w:sz w:val="20"/>
                      <w:szCs w:val="18"/>
                    </w:rPr>
                    <w:t>5</w:t>
                  </w:r>
                </w:p>
              </w:tc>
              <w:tc>
                <w:tcPr>
                  <w:tcW w:w="3581" w:type="dxa"/>
                  <w:tcBorders>
                    <w:top w:val="nil"/>
                    <w:left w:val="nil"/>
                    <w:bottom w:val="single" w:sz="4" w:space="0" w:color="000000"/>
                    <w:right w:val="single" w:sz="4" w:space="0" w:color="000000"/>
                  </w:tcBorders>
                </w:tcPr>
                <w:p w14:paraId="4B279B7A" w14:textId="630A6ACA" w:rsidR="00CA49CC" w:rsidRPr="00CE41A8" w:rsidRDefault="00CE41A8" w:rsidP="00CE41A8">
                  <w:pPr>
                    <w:rPr>
                      <w:sz w:val="18"/>
                      <w:szCs w:val="16"/>
                    </w:rPr>
                  </w:pPr>
                  <w:r w:rsidRPr="00CE41A8">
                    <w:rPr>
                      <w:sz w:val="18"/>
                      <w:szCs w:val="16"/>
                    </w:rPr>
                    <w:t>Instalacja CO w mieszkaniach (bez montażu osprzętu), termoizolacja dach płaski, tynki mieszkania</w:t>
                  </w:r>
                </w:p>
              </w:tc>
              <w:tc>
                <w:tcPr>
                  <w:tcW w:w="1418" w:type="dxa"/>
                  <w:tcBorders>
                    <w:top w:val="nil"/>
                    <w:left w:val="nil"/>
                    <w:bottom w:val="single" w:sz="4" w:space="0" w:color="000000"/>
                    <w:right w:val="single" w:sz="4" w:space="0" w:color="auto"/>
                  </w:tcBorders>
                  <w:noWrap/>
                </w:tcPr>
                <w:p w14:paraId="0C68A2D0" w14:textId="77777777" w:rsidR="00CE41A8" w:rsidRPr="00CE41A8" w:rsidRDefault="00CE41A8" w:rsidP="00CA49CC">
                  <w:pPr>
                    <w:spacing w:after="0" w:line="240" w:lineRule="auto"/>
                    <w:jc w:val="center"/>
                    <w:rPr>
                      <w:b/>
                      <w:bCs/>
                      <w:sz w:val="18"/>
                      <w:szCs w:val="18"/>
                    </w:rPr>
                  </w:pPr>
                </w:p>
                <w:p w14:paraId="3B017AD0" w14:textId="77777777" w:rsidR="00CE41A8" w:rsidRPr="00CE41A8" w:rsidRDefault="00CE41A8" w:rsidP="00CA49CC">
                  <w:pPr>
                    <w:spacing w:after="0" w:line="240" w:lineRule="auto"/>
                    <w:jc w:val="center"/>
                    <w:rPr>
                      <w:b/>
                      <w:bCs/>
                      <w:sz w:val="18"/>
                      <w:szCs w:val="18"/>
                    </w:rPr>
                  </w:pPr>
                </w:p>
                <w:p w14:paraId="49847761" w14:textId="0836D7CD" w:rsidR="00CA49CC" w:rsidRPr="00CE41A8" w:rsidRDefault="00CE41A8" w:rsidP="00CA49CC">
                  <w:pPr>
                    <w:spacing w:after="0" w:line="240" w:lineRule="auto"/>
                    <w:jc w:val="center"/>
                    <w:rPr>
                      <w:sz w:val="18"/>
                      <w:szCs w:val="18"/>
                    </w:rPr>
                  </w:pPr>
                  <w:r w:rsidRPr="00CE41A8">
                    <w:rPr>
                      <w:b/>
                      <w:bCs/>
                      <w:sz w:val="18"/>
                      <w:szCs w:val="18"/>
                    </w:rPr>
                    <w:t>14,09</w:t>
                  </w:r>
                </w:p>
              </w:tc>
              <w:tc>
                <w:tcPr>
                  <w:tcW w:w="1559" w:type="dxa"/>
                  <w:tcBorders>
                    <w:top w:val="nil"/>
                    <w:left w:val="single" w:sz="4" w:space="0" w:color="auto"/>
                    <w:bottom w:val="single" w:sz="4" w:space="0" w:color="000000"/>
                    <w:right w:val="single" w:sz="4" w:space="0" w:color="000000"/>
                  </w:tcBorders>
                </w:tcPr>
                <w:p w14:paraId="4A4B497F" w14:textId="77777777" w:rsidR="00CE41A8" w:rsidRPr="00CE41A8" w:rsidRDefault="00CE41A8" w:rsidP="00CA49CC">
                  <w:pPr>
                    <w:spacing w:after="0" w:line="240" w:lineRule="auto"/>
                    <w:jc w:val="center"/>
                    <w:rPr>
                      <w:b/>
                      <w:bCs/>
                      <w:sz w:val="18"/>
                      <w:szCs w:val="18"/>
                    </w:rPr>
                  </w:pPr>
                </w:p>
                <w:p w14:paraId="7066E660" w14:textId="77777777" w:rsidR="00CE41A8" w:rsidRPr="00CE41A8" w:rsidRDefault="00CE41A8" w:rsidP="00CA49CC">
                  <w:pPr>
                    <w:spacing w:after="0" w:line="240" w:lineRule="auto"/>
                    <w:jc w:val="center"/>
                    <w:rPr>
                      <w:b/>
                      <w:bCs/>
                      <w:sz w:val="18"/>
                      <w:szCs w:val="18"/>
                    </w:rPr>
                  </w:pPr>
                </w:p>
                <w:p w14:paraId="240B9D03" w14:textId="42D13EE6" w:rsidR="00CA49CC" w:rsidRPr="00CE41A8" w:rsidRDefault="00CE41A8" w:rsidP="00CA49CC">
                  <w:pPr>
                    <w:spacing w:after="0" w:line="240" w:lineRule="auto"/>
                    <w:jc w:val="center"/>
                    <w:rPr>
                      <w:sz w:val="18"/>
                      <w:szCs w:val="18"/>
                    </w:rPr>
                  </w:pPr>
                  <w:r w:rsidRPr="00CE41A8">
                    <w:rPr>
                      <w:b/>
                      <w:bCs/>
                      <w:sz w:val="18"/>
                      <w:szCs w:val="18"/>
                    </w:rPr>
                    <w:t>30.06.2027</w:t>
                  </w:r>
                </w:p>
              </w:tc>
            </w:tr>
            <w:tr w:rsidR="00CA49CC" w:rsidRPr="0018326A" w14:paraId="3E076993" w14:textId="44A9033D" w:rsidTr="00CE41A8">
              <w:trPr>
                <w:trHeight w:val="648"/>
              </w:trPr>
              <w:tc>
                <w:tcPr>
                  <w:tcW w:w="525" w:type="dxa"/>
                  <w:tcBorders>
                    <w:top w:val="nil"/>
                    <w:left w:val="single" w:sz="4" w:space="0" w:color="000000"/>
                    <w:bottom w:val="single" w:sz="4" w:space="0" w:color="000000"/>
                    <w:right w:val="single" w:sz="4" w:space="0" w:color="000000"/>
                  </w:tcBorders>
                  <w:noWrap/>
                  <w:vAlign w:val="center"/>
                  <w:hideMark/>
                </w:tcPr>
                <w:p w14:paraId="00B47A3C" w14:textId="7ED6D78A" w:rsidR="00CA49CC" w:rsidRPr="00CE41A8" w:rsidRDefault="00CE41A8" w:rsidP="00CE41A8">
                  <w:pPr>
                    <w:rPr>
                      <w:sz w:val="20"/>
                      <w:szCs w:val="18"/>
                    </w:rPr>
                  </w:pPr>
                  <w:r w:rsidRPr="00CE41A8">
                    <w:rPr>
                      <w:sz w:val="20"/>
                      <w:szCs w:val="18"/>
                    </w:rPr>
                    <w:t>6</w:t>
                  </w:r>
                </w:p>
              </w:tc>
              <w:tc>
                <w:tcPr>
                  <w:tcW w:w="3581" w:type="dxa"/>
                  <w:tcBorders>
                    <w:top w:val="nil"/>
                    <w:left w:val="nil"/>
                    <w:bottom w:val="single" w:sz="4" w:space="0" w:color="000000"/>
                    <w:right w:val="single" w:sz="4" w:space="0" w:color="000000"/>
                  </w:tcBorders>
                </w:tcPr>
                <w:p w14:paraId="26C203CD" w14:textId="690047F6" w:rsidR="00CA49CC" w:rsidRPr="00CE41A8" w:rsidRDefault="00CE41A8" w:rsidP="00CE41A8">
                  <w:pPr>
                    <w:rPr>
                      <w:sz w:val="18"/>
                      <w:szCs w:val="16"/>
                    </w:rPr>
                  </w:pPr>
                  <w:r>
                    <w:rPr>
                      <w:sz w:val="18"/>
                      <w:szCs w:val="16"/>
                    </w:rPr>
                    <w:t>E</w:t>
                  </w:r>
                  <w:r w:rsidRPr="00CE41A8">
                    <w:rPr>
                      <w:sz w:val="18"/>
                      <w:szCs w:val="16"/>
                    </w:rPr>
                    <w:t>lewacja budynku - bez nałożenia wyprawy na parterze, posadzki mieszkania, posadzki hala garażowa, montaż witryn na klatkach schodowych, posadzki w mieszkaniach i hali garażowej</w:t>
                  </w:r>
                </w:p>
              </w:tc>
              <w:tc>
                <w:tcPr>
                  <w:tcW w:w="1418" w:type="dxa"/>
                  <w:tcBorders>
                    <w:top w:val="nil"/>
                    <w:left w:val="nil"/>
                    <w:bottom w:val="single" w:sz="4" w:space="0" w:color="000000"/>
                    <w:right w:val="single" w:sz="4" w:space="0" w:color="auto"/>
                  </w:tcBorders>
                  <w:noWrap/>
                </w:tcPr>
                <w:p w14:paraId="5B77482C" w14:textId="77777777" w:rsidR="00CE41A8" w:rsidRPr="00CE41A8" w:rsidRDefault="00CE41A8" w:rsidP="00CA49CC">
                  <w:pPr>
                    <w:spacing w:after="0" w:line="240" w:lineRule="auto"/>
                    <w:jc w:val="center"/>
                    <w:rPr>
                      <w:b/>
                      <w:bCs/>
                      <w:sz w:val="18"/>
                      <w:szCs w:val="18"/>
                    </w:rPr>
                  </w:pPr>
                </w:p>
                <w:p w14:paraId="57F6F675" w14:textId="77777777" w:rsidR="00CE41A8" w:rsidRPr="00CE41A8" w:rsidRDefault="00CE41A8" w:rsidP="00CA49CC">
                  <w:pPr>
                    <w:spacing w:after="0" w:line="240" w:lineRule="auto"/>
                    <w:jc w:val="center"/>
                    <w:rPr>
                      <w:b/>
                      <w:bCs/>
                      <w:sz w:val="18"/>
                      <w:szCs w:val="18"/>
                    </w:rPr>
                  </w:pPr>
                </w:p>
                <w:p w14:paraId="4DD0EEBD" w14:textId="77777777" w:rsidR="00CE41A8" w:rsidRPr="00CE41A8" w:rsidRDefault="00CE41A8" w:rsidP="00CA49CC">
                  <w:pPr>
                    <w:spacing w:after="0" w:line="240" w:lineRule="auto"/>
                    <w:jc w:val="center"/>
                    <w:rPr>
                      <w:b/>
                      <w:bCs/>
                      <w:sz w:val="18"/>
                      <w:szCs w:val="18"/>
                    </w:rPr>
                  </w:pPr>
                </w:p>
                <w:p w14:paraId="7C188532" w14:textId="253ACA80" w:rsidR="00CA49CC" w:rsidRPr="00CE41A8" w:rsidRDefault="00CE41A8" w:rsidP="00CA49CC">
                  <w:pPr>
                    <w:spacing w:after="0" w:line="240" w:lineRule="auto"/>
                    <w:jc w:val="center"/>
                    <w:rPr>
                      <w:sz w:val="18"/>
                      <w:szCs w:val="18"/>
                    </w:rPr>
                  </w:pPr>
                  <w:r w:rsidRPr="00CE41A8">
                    <w:rPr>
                      <w:b/>
                      <w:bCs/>
                      <w:sz w:val="18"/>
                      <w:szCs w:val="18"/>
                    </w:rPr>
                    <w:t>11,75</w:t>
                  </w:r>
                </w:p>
              </w:tc>
              <w:tc>
                <w:tcPr>
                  <w:tcW w:w="1559" w:type="dxa"/>
                  <w:tcBorders>
                    <w:top w:val="nil"/>
                    <w:left w:val="single" w:sz="4" w:space="0" w:color="auto"/>
                    <w:bottom w:val="single" w:sz="4" w:space="0" w:color="000000"/>
                    <w:right w:val="single" w:sz="4" w:space="0" w:color="000000"/>
                  </w:tcBorders>
                </w:tcPr>
                <w:p w14:paraId="14421E92" w14:textId="77777777" w:rsidR="00CE41A8" w:rsidRPr="00CE41A8" w:rsidRDefault="00CE41A8" w:rsidP="00CA49CC">
                  <w:pPr>
                    <w:spacing w:after="0" w:line="240" w:lineRule="auto"/>
                    <w:jc w:val="center"/>
                    <w:rPr>
                      <w:b/>
                      <w:bCs/>
                      <w:sz w:val="18"/>
                      <w:szCs w:val="18"/>
                    </w:rPr>
                  </w:pPr>
                </w:p>
                <w:p w14:paraId="6648E0BC" w14:textId="77777777" w:rsidR="00CE41A8" w:rsidRPr="00CE41A8" w:rsidRDefault="00CE41A8" w:rsidP="00CA49CC">
                  <w:pPr>
                    <w:spacing w:after="0" w:line="240" w:lineRule="auto"/>
                    <w:jc w:val="center"/>
                    <w:rPr>
                      <w:b/>
                      <w:bCs/>
                      <w:sz w:val="18"/>
                      <w:szCs w:val="18"/>
                    </w:rPr>
                  </w:pPr>
                </w:p>
                <w:p w14:paraId="004F7AD3" w14:textId="77777777" w:rsidR="00CE41A8" w:rsidRPr="00CE41A8" w:rsidRDefault="00CE41A8" w:rsidP="00CA49CC">
                  <w:pPr>
                    <w:spacing w:after="0" w:line="240" w:lineRule="auto"/>
                    <w:jc w:val="center"/>
                    <w:rPr>
                      <w:b/>
                      <w:bCs/>
                      <w:sz w:val="18"/>
                      <w:szCs w:val="18"/>
                    </w:rPr>
                  </w:pPr>
                </w:p>
                <w:p w14:paraId="22EE1860" w14:textId="454F74D6" w:rsidR="00CA49CC" w:rsidRPr="00CE41A8" w:rsidRDefault="00CE41A8" w:rsidP="00CA49CC">
                  <w:pPr>
                    <w:spacing w:after="0" w:line="240" w:lineRule="auto"/>
                    <w:jc w:val="center"/>
                    <w:rPr>
                      <w:sz w:val="18"/>
                      <w:szCs w:val="18"/>
                    </w:rPr>
                  </w:pPr>
                  <w:r w:rsidRPr="00CE41A8">
                    <w:rPr>
                      <w:b/>
                      <w:bCs/>
                      <w:sz w:val="18"/>
                      <w:szCs w:val="18"/>
                    </w:rPr>
                    <w:t>30.09.2027</w:t>
                  </w:r>
                </w:p>
              </w:tc>
            </w:tr>
            <w:tr w:rsidR="00CA49CC" w:rsidRPr="0018326A" w14:paraId="39D68532" w14:textId="11C8DC33" w:rsidTr="00CE41A8">
              <w:trPr>
                <w:trHeight w:val="607"/>
              </w:trPr>
              <w:tc>
                <w:tcPr>
                  <w:tcW w:w="525" w:type="dxa"/>
                  <w:tcBorders>
                    <w:top w:val="nil"/>
                    <w:left w:val="single" w:sz="4" w:space="0" w:color="000000"/>
                    <w:bottom w:val="single" w:sz="4" w:space="0" w:color="000000"/>
                    <w:right w:val="single" w:sz="4" w:space="0" w:color="000000"/>
                  </w:tcBorders>
                  <w:noWrap/>
                  <w:vAlign w:val="center"/>
                  <w:hideMark/>
                </w:tcPr>
                <w:p w14:paraId="3D69F695" w14:textId="764E780A" w:rsidR="00CA49CC" w:rsidRPr="00CE41A8" w:rsidRDefault="00CE41A8" w:rsidP="00CE41A8">
                  <w:pPr>
                    <w:rPr>
                      <w:sz w:val="20"/>
                      <w:szCs w:val="18"/>
                    </w:rPr>
                  </w:pPr>
                  <w:r w:rsidRPr="00CE41A8">
                    <w:rPr>
                      <w:sz w:val="20"/>
                      <w:szCs w:val="18"/>
                    </w:rPr>
                    <w:t>7</w:t>
                  </w:r>
                </w:p>
              </w:tc>
              <w:tc>
                <w:tcPr>
                  <w:tcW w:w="3581" w:type="dxa"/>
                  <w:tcBorders>
                    <w:top w:val="nil"/>
                    <w:left w:val="nil"/>
                    <w:bottom w:val="single" w:sz="4" w:space="0" w:color="000000"/>
                    <w:right w:val="single" w:sz="4" w:space="0" w:color="000000"/>
                  </w:tcBorders>
                </w:tcPr>
                <w:p w14:paraId="2525853A" w14:textId="0F29B87C" w:rsidR="00CA49CC" w:rsidRPr="00CE41A8" w:rsidRDefault="00CE41A8" w:rsidP="00CE41A8">
                  <w:pPr>
                    <w:rPr>
                      <w:sz w:val="18"/>
                      <w:szCs w:val="16"/>
                    </w:rPr>
                  </w:pPr>
                  <w:r>
                    <w:rPr>
                      <w:sz w:val="18"/>
                      <w:szCs w:val="16"/>
                    </w:rPr>
                    <w:t>P</w:t>
                  </w:r>
                  <w:r w:rsidRPr="00CE41A8">
                    <w:rPr>
                      <w:sz w:val="18"/>
                      <w:szCs w:val="16"/>
                    </w:rPr>
                    <w:t>race wykończeniowe: elewacja wyprawa na parterze, obróbki blacharskie, instalacyjne, montaż osprzętu, pozostałe prace stanu deweloperskiego</w:t>
                  </w:r>
                </w:p>
              </w:tc>
              <w:tc>
                <w:tcPr>
                  <w:tcW w:w="1418" w:type="dxa"/>
                  <w:tcBorders>
                    <w:top w:val="nil"/>
                    <w:left w:val="nil"/>
                    <w:bottom w:val="single" w:sz="4" w:space="0" w:color="000000"/>
                    <w:right w:val="single" w:sz="4" w:space="0" w:color="auto"/>
                  </w:tcBorders>
                  <w:noWrap/>
                </w:tcPr>
                <w:p w14:paraId="6C95A80A" w14:textId="77777777" w:rsidR="00CE41A8" w:rsidRPr="00CE41A8" w:rsidRDefault="00CE41A8" w:rsidP="00CA49CC">
                  <w:pPr>
                    <w:spacing w:after="0" w:line="240" w:lineRule="auto"/>
                    <w:jc w:val="center"/>
                    <w:rPr>
                      <w:b/>
                      <w:bCs/>
                      <w:sz w:val="18"/>
                      <w:szCs w:val="18"/>
                    </w:rPr>
                  </w:pPr>
                </w:p>
                <w:p w14:paraId="7D15D716" w14:textId="77777777" w:rsidR="00CE41A8" w:rsidRPr="00CE41A8" w:rsidRDefault="00CE41A8" w:rsidP="00CA49CC">
                  <w:pPr>
                    <w:spacing w:after="0" w:line="240" w:lineRule="auto"/>
                    <w:jc w:val="center"/>
                    <w:rPr>
                      <w:b/>
                      <w:bCs/>
                      <w:sz w:val="18"/>
                      <w:szCs w:val="18"/>
                    </w:rPr>
                  </w:pPr>
                </w:p>
                <w:p w14:paraId="2B74C668" w14:textId="0A189841" w:rsidR="00CA49CC" w:rsidRPr="00CE41A8" w:rsidRDefault="00CE41A8" w:rsidP="00CA49CC">
                  <w:pPr>
                    <w:spacing w:after="0" w:line="240" w:lineRule="auto"/>
                    <w:jc w:val="center"/>
                    <w:rPr>
                      <w:sz w:val="18"/>
                      <w:szCs w:val="18"/>
                    </w:rPr>
                  </w:pPr>
                  <w:r w:rsidRPr="00CE41A8">
                    <w:rPr>
                      <w:b/>
                      <w:bCs/>
                      <w:sz w:val="18"/>
                      <w:szCs w:val="18"/>
                    </w:rPr>
                    <w:t>10,32</w:t>
                  </w:r>
                </w:p>
              </w:tc>
              <w:tc>
                <w:tcPr>
                  <w:tcW w:w="1559" w:type="dxa"/>
                  <w:tcBorders>
                    <w:top w:val="nil"/>
                    <w:left w:val="single" w:sz="4" w:space="0" w:color="auto"/>
                    <w:bottom w:val="single" w:sz="4" w:space="0" w:color="000000"/>
                    <w:right w:val="single" w:sz="4" w:space="0" w:color="000000"/>
                  </w:tcBorders>
                </w:tcPr>
                <w:p w14:paraId="336183FF" w14:textId="77777777" w:rsidR="00CE41A8" w:rsidRPr="00CE41A8" w:rsidRDefault="00CE41A8" w:rsidP="00CA49CC">
                  <w:pPr>
                    <w:jc w:val="center"/>
                    <w:rPr>
                      <w:b/>
                      <w:bCs/>
                      <w:sz w:val="18"/>
                      <w:szCs w:val="18"/>
                    </w:rPr>
                  </w:pPr>
                </w:p>
                <w:p w14:paraId="61B44BF2" w14:textId="479B7EEF" w:rsidR="00CA49CC" w:rsidRPr="00CE41A8" w:rsidRDefault="00CE41A8" w:rsidP="00CA49CC">
                  <w:pPr>
                    <w:jc w:val="center"/>
                    <w:rPr>
                      <w:sz w:val="18"/>
                      <w:szCs w:val="18"/>
                    </w:rPr>
                  </w:pPr>
                  <w:r w:rsidRPr="00CE41A8">
                    <w:rPr>
                      <w:b/>
                      <w:bCs/>
                      <w:sz w:val="18"/>
                      <w:szCs w:val="18"/>
                    </w:rPr>
                    <w:t>31.12.2027</w:t>
                  </w:r>
                </w:p>
              </w:tc>
            </w:tr>
          </w:tbl>
          <w:p w14:paraId="53BD519F" w14:textId="17FF0CE2" w:rsidR="00461D9E" w:rsidRPr="0018326A" w:rsidRDefault="00461D9E" w:rsidP="00461D9E">
            <w:pPr>
              <w:rPr>
                <w:sz w:val="18"/>
                <w:szCs w:val="18"/>
              </w:rPr>
            </w:pPr>
          </w:p>
        </w:tc>
      </w:tr>
      <w:tr w:rsidR="00461D9E" w:rsidRPr="0018326A" w14:paraId="3896EC2B" w14:textId="77777777" w:rsidTr="0066261E">
        <w:trPr>
          <w:trHeight w:val="196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5D3A303E" w14:textId="77777777" w:rsidR="00461D9E" w:rsidRPr="0018326A" w:rsidRDefault="00461D9E" w:rsidP="00461D9E">
            <w:pPr>
              <w:spacing w:after="0"/>
              <w:rPr>
                <w:sz w:val="18"/>
                <w:szCs w:val="18"/>
              </w:rPr>
            </w:pPr>
            <w:r w:rsidRPr="0018326A">
              <w:rPr>
                <w:color w:val="000000"/>
                <w:sz w:val="18"/>
                <w:szCs w:val="18"/>
              </w:rPr>
              <w:lastRenderedPageBreak/>
              <w:t>Dopuszczenie waloryzacji ceny oraz określenie zasad waloryzacji</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423EDB15" w14:textId="77777777" w:rsidR="00461D9E" w:rsidRPr="0002350A" w:rsidRDefault="00461D9E" w:rsidP="00461D9E">
            <w:pPr>
              <w:rPr>
                <w:sz w:val="18"/>
                <w:szCs w:val="18"/>
              </w:rPr>
            </w:pPr>
            <w:r w:rsidRPr="0002350A">
              <w:rPr>
                <w:sz w:val="18"/>
                <w:szCs w:val="18"/>
              </w:rPr>
              <w:t>Tak;</w:t>
            </w:r>
          </w:p>
          <w:p w14:paraId="00677CF0" w14:textId="77777777" w:rsidR="00461D9E" w:rsidRPr="0002350A" w:rsidRDefault="00461D9E" w:rsidP="00461D9E">
            <w:pPr>
              <w:jc w:val="both"/>
              <w:rPr>
                <w:sz w:val="18"/>
                <w:szCs w:val="18"/>
              </w:rPr>
            </w:pPr>
            <w:r w:rsidRPr="0002350A">
              <w:rPr>
                <w:sz w:val="18"/>
                <w:szCs w:val="18"/>
              </w:rPr>
              <w:t>1) w przypadku zmiany przepisów prawnych dotyczących podatku od towarów i usług, cena zostanie stosownie zmieniona, w sposób uwzględniający zmianę takich przepisów. Cena, z uwzględnieniem zmian, o których mowa wyżej zostanie ostatecznie skalkulowana, z uwzględnieniem przepisów prawa, w tym w szczególności określających odpowiednie stawki podatku od towarów i usług (VAT), obowiązujących na dzień zawarcia Umowy Przeniesienia Własności. W przypadku zmiany stawki podatku VAT, wpływającej na wysokość ceny, Nabywcy przysługuje prawo odstąpienia od Umowy Deweloperskiej, zgodnie z jej postanowieniem.</w:t>
            </w:r>
          </w:p>
          <w:p w14:paraId="1D30C188" w14:textId="10B2C322" w:rsidR="00461D9E" w:rsidRPr="0002350A" w:rsidRDefault="00461D9E" w:rsidP="00461D9E">
            <w:pPr>
              <w:jc w:val="both"/>
              <w:rPr>
                <w:sz w:val="18"/>
                <w:szCs w:val="18"/>
              </w:rPr>
            </w:pPr>
            <w:r w:rsidRPr="0002350A">
              <w:rPr>
                <w:sz w:val="18"/>
                <w:szCs w:val="18"/>
              </w:rPr>
              <w:t xml:space="preserve">2) </w:t>
            </w:r>
            <w:r w:rsidR="00766EF3" w:rsidRPr="00766EF3">
              <w:rPr>
                <w:sz w:val="18"/>
                <w:szCs w:val="18"/>
              </w:rPr>
              <w:t>w przypadku zmiany projektowanej powierzchni użytkowej Lokalu podanej w Umowie Deweloperskiej w wyniku dokonania pomiarów powykonawczych Lokalu. Na podstawie ostatecznej Powierzchni Użytkowej Lokalu w stosunku do powierzchni planowanej zostanie skorygowana Cena Nabycia w ten sposób, że różnica pomiędzy projektowaną powierzchnią użytkową, a ostateczną powierzchnią użytkową zostanie pomnożona przez cenę brutto za jeden metr kwadratowy powierzchni użytkowej lokalu a otrzymana wartość zostanie dodana do Ceny Nabycia (w przypadku ostatecznej Powierzchni Użytkowej Lokalu większej niż projektowa) bądź od niej odjęta (w przypadku ostatecznej Powierzchni Użytkowej Lokalu mniejszej niż projektowana</w:t>
            </w:r>
            <w:r w:rsidRPr="0002350A">
              <w:rPr>
                <w:sz w:val="18"/>
                <w:szCs w:val="18"/>
              </w:rPr>
              <w:t>).</w:t>
            </w:r>
          </w:p>
          <w:p w14:paraId="727D36AD" w14:textId="77777777" w:rsidR="00461D9E" w:rsidRPr="0002350A" w:rsidRDefault="00461D9E" w:rsidP="00461D9E">
            <w:pPr>
              <w:jc w:val="both"/>
              <w:rPr>
                <w:strike/>
                <w:sz w:val="18"/>
                <w:szCs w:val="18"/>
              </w:rPr>
            </w:pPr>
            <w:r w:rsidRPr="0002350A">
              <w:rPr>
                <w:sz w:val="18"/>
                <w:szCs w:val="18"/>
              </w:rPr>
              <w:t>3) w przypadku wprowadzenia przez Dewelopera na zlecenie Nabywcy zmian w stosunku do standardu Lokalu podwyższających ten standard.</w:t>
            </w:r>
          </w:p>
          <w:p w14:paraId="48A782E2" w14:textId="77777777" w:rsidR="00461D9E" w:rsidRPr="0002350A" w:rsidRDefault="00461D9E" w:rsidP="00461D9E">
            <w:pPr>
              <w:jc w:val="both"/>
              <w:rPr>
                <w:sz w:val="18"/>
                <w:szCs w:val="18"/>
              </w:rPr>
            </w:pPr>
            <w:r w:rsidRPr="0002350A">
              <w:rPr>
                <w:sz w:val="18"/>
                <w:szCs w:val="18"/>
              </w:rPr>
              <w:lastRenderedPageBreak/>
              <w:t xml:space="preserve">Po zapłaceniu przez Nabywcę co najmniej 10% Ceny Nabycia Lokalu, Nabywca na zasadach określonych w  załączniku nr 4 do niniejszego prospektu „Zasady Realizacji Zleceń Aranżacyjnych”, może wnosić o określenie cech indywidualnych Lokalu w zakresie układu architektonicznego Lokalu oraz sposobu jego wykończenia i wyposażenia. Wszelkie zmiany odnoszące się do Lokalu Nabywca zobowiązany jest uzgodnić z Deweloperem w formie pisemnej (pod rygorem nieważności), przy czym Deweloper nie jest zobowiązany do uwzględnienia wniosku Nabywcy o dokonanie zmian. </w:t>
            </w:r>
          </w:p>
          <w:p w14:paraId="5D54F1A4" w14:textId="77777777" w:rsidR="00461D9E" w:rsidRPr="0002350A" w:rsidRDefault="00461D9E" w:rsidP="00461D9E">
            <w:pPr>
              <w:jc w:val="both"/>
              <w:rPr>
                <w:sz w:val="18"/>
                <w:szCs w:val="18"/>
              </w:rPr>
            </w:pPr>
            <w:r w:rsidRPr="0002350A">
              <w:rPr>
                <w:sz w:val="18"/>
                <w:szCs w:val="18"/>
              </w:rPr>
              <w:t>W przypadku uwzględnienia przez Dewelopera wniosku Nabywcy o określenie cech indywidualnych Lokalu w zakresie układu architektonicznego Lokalu oraz sposobu jego wykończenia i wyposażenia Lokalu należna Deweloperowi kwota z tytułu zmian będzie przedstawiona przez Dewelopera Nabywcy w postaci - :Rozliczenia zmian aranżacyjnych” najpóźniej na 14 dni przed dniem zawarcia Umowy Przeniesienia Własności.</w:t>
            </w:r>
          </w:p>
          <w:p w14:paraId="1C59B58F" w14:textId="62825297" w:rsidR="00461D9E" w:rsidRPr="0018326A" w:rsidRDefault="00461D9E" w:rsidP="00461D9E">
            <w:pPr>
              <w:jc w:val="both"/>
              <w:rPr>
                <w:sz w:val="18"/>
                <w:szCs w:val="18"/>
              </w:rPr>
            </w:pPr>
            <w:r w:rsidRPr="0002350A">
              <w:rPr>
                <w:sz w:val="18"/>
                <w:szCs w:val="18"/>
              </w:rPr>
              <w:t xml:space="preserve">Kwota ta nie zwiększa ceny nabycia, jednakże w przypadku akcepcji przez Dewelopera wniosku oraz kwoty z tytułu zmian przez Nabywcę, Nabywca zapłaci Deweloperowi w terminie 14 dni od dnia przedstawienia Nabywcy Rozliczenia zmian aranżacyjnych – nie później jednak niż przed dniem zawarcia Umowy Przeniesienia Własności, na wskazany przez Dewelopera rachunek bankowy na podstawie odrębnej faktury VAT. Przy czym w przypadku niedojścia do zawarcia umowy przyrzeczonej przeniesienia własności przedmiotowego Lokalu z przyczyn innych niż leżące wyłącznie po stronie Dewelopera – Nabywca zobowiązuje się do pokrycia kosztów przywrócenia Lokalu do stanu z karty lokalu przed zmianami o których mowa powyżej.  </w:t>
            </w:r>
          </w:p>
        </w:tc>
      </w:tr>
      <w:tr w:rsidR="00461D9E" w:rsidRPr="0018326A" w14:paraId="398B933E" w14:textId="77777777" w:rsidTr="0018326A">
        <w:trPr>
          <w:trHeight w:val="45"/>
          <w:tblCellSpacing w:w="0" w:type="auto"/>
        </w:trPr>
        <w:tc>
          <w:tcPr>
            <w:tcW w:w="10774" w:type="dxa"/>
            <w:gridSpan w:val="3"/>
            <w:tcBorders>
              <w:bottom w:val="single" w:sz="8" w:space="0" w:color="000000"/>
              <w:right w:val="single" w:sz="8" w:space="0" w:color="000000"/>
            </w:tcBorders>
            <w:tcMar>
              <w:top w:w="15" w:type="dxa"/>
              <w:left w:w="15" w:type="dxa"/>
              <w:bottom w:w="15" w:type="dxa"/>
              <w:right w:w="15" w:type="dxa"/>
            </w:tcMar>
            <w:vAlign w:val="center"/>
          </w:tcPr>
          <w:p w14:paraId="10EEF076" w14:textId="77777777" w:rsidR="00461D9E" w:rsidRPr="0018326A" w:rsidRDefault="00461D9E" w:rsidP="00461D9E">
            <w:pPr>
              <w:spacing w:after="0"/>
              <w:rPr>
                <w:sz w:val="18"/>
                <w:szCs w:val="18"/>
              </w:rPr>
            </w:pPr>
            <w:r w:rsidRPr="0018326A">
              <w:rPr>
                <w:b/>
                <w:color w:val="000000"/>
                <w:sz w:val="18"/>
                <w:szCs w:val="18"/>
              </w:rPr>
              <w:lastRenderedPageBreak/>
              <w:t>WARUNKI ODSTĄPIENIA OD UMOWY DEWELOPERSKIEJ LUB UMOWY, O KTÓREJ MOWA W ART. 2 UST. 1 PKT 2, 3 LUB 5 USTAWY Z DNIA 20 MAJA 2021 r. O OCHRONIE PRAW NABYWCY LOKALU MIESZKALNEGO LUB DOMU JEDNORODZINNEGO ORAZ DEWELOPERSKIM FUNDUSZU GWARANCYJNYM</w:t>
            </w:r>
          </w:p>
        </w:tc>
      </w:tr>
      <w:tr w:rsidR="00461D9E" w:rsidRPr="0018326A" w14:paraId="665799C0" w14:textId="77777777" w:rsidTr="0018326A">
        <w:trPr>
          <w:trHeight w:val="45"/>
          <w:tblCellSpacing w:w="0" w:type="auto"/>
        </w:trPr>
        <w:tc>
          <w:tcPr>
            <w:tcW w:w="3261" w:type="dxa"/>
            <w:tcBorders>
              <w:bottom w:val="single" w:sz="8" w:space="0" w:color="000000"/>
              <w:right w:val="single" w:sz="8" w:space="0" w:color="000000"/>
            </w:tcBorders>
            <w:tcMar>
              <w:top w:w="15" w:type="dxa"/>
              <w:left w:w="15" w:type="dxa"/>
              <w:bottom w:w="15" w:type="dxa"/>
              <w:right w:w="15" w:type="dxa"/>
            </w:tcMar>
            <w:vAlign w:val="center"/>
          </w:tcPr>
          <w:p w14:paraId="3A9C8A17" w14:textId="77777777" w:rsidR="00461D9E" w:rsidRPr="0018326A" w:rsidRDefault="00461D9E" w:rsidP="00461D9E">
            <w:pPr>
              <w:spacing w:after="0"/>
              <w:rPr>
                <w:sz w:val="18"/>
                <w:szCs w:val="18"/>
              </w:rPr>
            </w:pPr>
            <w:r w:rsidRPr="0018326A">
              <w:rPr>
                <w:color w:val="000000"/>
                <w:sz w:val="18"/>
                <w:szCs w:val="18"/>
              </w:rPr>
              <w:t xml:space="preserve">Warunki, na jakich można odstąpić od umowy deweloperskiej lub jednej z umów, o których mowa w </w:t>
            </w:r>
            <w:r w:rsidRPr="0018326A">
              <w:rPr>
                <w:color w:val="1B1B1B"/>
                <w:sz w:val="18"/>
                <w:szCs w:val="18"/>
              </w:rPr>
              <w:t>art. 2 ust. 1 pkt 2</w:t>
            </w:r>
            <w:r w:rsidRPr="0018326A">
              <w:rPr>
                <w:color w:val="000000"/>
                <w:sz w:val="18"/>
                <w:szCs w:val="18"/>
              </w:rPr>
              <w:t xml:space="preserve">, </w:t>
            </w:r>
            <w:r w:rsidRPr="0018326A">
              <w:rPr>
                <w:color w:val="1B1B1B"/>
                <w:sz w:val="18"/>
                <w:szCs w:val="18"/>
              </w:rPr>
              <w:t>3</w:t>
            </w:r>
            <w:r w:rsidRPr="0018326A">
              <w:rPr>
                <w:color w:val="000000"/>
                <w:sz w:val="18"/>
                <w:szCs w:val="18"/>
              </w:rPr>
              <w:t xml:space="preserve"> lub </w:t>
            </w:r>
            <w:r w:rsidRPr="0018326A">
              <w:rPr>
                <w:color w:val="1B1B1B"/>
                <w:sz w:val="18"/>
                <w:szCs w:val="18"/>
              </w:rPr>
              <w:t>5</w:t>
            </w:r>
            <w:r w:rsidRPr="0018326A">
              <w:rPr>
                <w:color w:val="000000"/>
                <w:sz w:val="18"/>
                <w:szCs w:val="18"/>
              </w:rPr>
              <w:t xml:space="preserve"> ustawy z dnia 20 maja 2021 r. o ochronie praw nabywcy lokalu mieszkalnego lub domu jednorodzinnego oraz Deweloperskim Funduszu Gwarancyjnym</w:t>
            </w:r>
          </w:p>
        </w:tc>
        <w:tc>
          <w:tcPr>
            <w:tcW w:w="7513" w:type="dxa"/>
            <w:gridSpan w:val="2"/>
            <w:tcBorders>
              <w:bottom w:val="single" w:sz="8" w:space="0" w:color="000000"/>
              <w:right w:val="single" w:sz="8" w:space="0" w:color="000000"/>
            </w:tcBorders>
            <w:tcMar>
              <w:top w:w="15" w:type="dxa"/>
              <w:left w:w="15" w:type="dxa"/>
              <w:bottom w:w="15" w:type="dxa"/>
              <w:right w:w="15" w:type="dxa"/>
            </w:tcMar>
            <w:vAlign w:val="center"/>
          </w:tcPr>
          <w:p w14:paraId="66DE1C98" w14:textId="77777777" w:rsidR="00461D9E" w:rsidRPr="0002350A" w:rsidRDefault="00461D9E" w:rsidP="00461D9E">
            <w:pPr>
              <w:pStyle w:val="Akapitzlist"/>
              <w:numPr>
                <w:ilvl w:val="0"/>
                <w:numId w:val="46"/>
              </w:numPr>
              <w:spacing w:after="0"/>
              <w:jc w:val="both"/>
              <w:rPr>
                <w:sz w:val="18"/>
                <w:szCs w:val="18"/>
              </w:rPr>
            </w:pPr>
            <w:r w:rsidRPr="0002350A">
              <w:rPr>
                <w:bCs/>
                <w:sz w:val="18"/>
                <w:szCs w:val="18"/>
              </w:rPr>
              <w:t>Nabywca</w:t>
            </w:r>
            <w:r w:rsidRPr="0002350A">
              <w:rPr>
                <w:sz w:val="18"/>
                <w:szCs w:val="18"/>
              </w:rPr>
              <w:t xml:space="preserve"> ma prawo odstąpić od niniejszej Umowy Deweloperskiej: </w:t>
            </w:r>
          </w:p>
          <w:p w14:paraId="71FBDF7D"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 xml:space="preserve">jeżeli Umowa Deweloperska nie zawiera elementów, o których mowa w art. 35 Ustawy Deweloperskiej; </w:t>
            </w:r>
          </w:p>
          <w:p w14:paraId="66B9AA4E"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 xml:space="preserve">jeżeli informacje zawarte w Umowie Deweloperskiej nie są zgodne z informacjami zawartymi w Prospekcie Informacyjnym lub w załącznikach do Prospektu Informacyjnego, za wyjątkiem zmian, wskazanych wyraźnie i w sposób jednoznaczny w treści niniejszej Umowy Deweloperskiej; </w:t>
            </w:r>
          </w:p>
          <w:p w14:paraId="7BC761C0"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jeżeli Deweloper nie doręczył Nabywcy zgodnie z art. 21 i art. 22 Ustawy Deweloperskiej Prospektu Informacyjnego wraz z załącznikami lub informacji o zmianie danych lub informacji zawartych w prospekcie informacyjnym lub jego załącznikach;</w:t>
            </w:r>
          </w:p>
          <w:p w14:paraId="2AFE06C6"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jeżeli informacje zawarte w Prospekcie Informacyjnym lub w załącznikach do Prospektu Informacyjnego, na podstawie których zawarto niniejszą Umowę Deweloperską, są niezgodne ze stanem faktycznym i prawnym w dniu podpisania Umowy Deweloperskiej;</w:t>
            </w:r>
          </w:p>
          <w:p w14:paraId="6E56B5DD"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jeżeli Prospekt Informacyjny, na podstawie którego zawarto niniejszą Umowę Deweloperską, nie zawiera informacji określonych we wzorze prospektu informacyjnego;</w:t>
            </w:r>
          </w:p>
          <w:p w14:paraId="0F8BDA9F"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 xml:space="preserve">z zastrzeżeniem postanowień ust. 3 poniżej, w przypadku nie przeniesienia na Nabywcę prawa własności Lokalu, w terminie określonym w Umowie Deweloperskiej. </w:t>
            </w:r>
          </w:p>
          <w:p w14:paraId="034EB8A4" w14:textId="77777777" w:rsidR="00461D9E" w:rsidRPr="0002350A" w:rsidRDefault="00461D9E" w:rsidP="00461D9E">
            <w:pPr>
              <w:pStyle w:val="Akapitzlist"/>
              <w:numPr>
                <w:ilvl w:val="0"/>
                <w:numId w:val="47"/>
              </w:numPr>
              <w:spacing w:after="0"/>
              <w:ind w:left="411"/>
              <w:jc w:val="both"/>
              <w:rPr>
                <w:sz w:val="18"/>
                <w:szCs w:val="18"/>
              </w:rPr>
            </w:pPr>
            <w:r w:rsidRPr="0002350A">
              <w:rPr>
                <w:color w:val="000000" w:themeColor="text1"/>
                <w:sz w:val="18"/>
                <w:szCs w:val="18"/>
                <w:shd w:val="clear" w:color="auto" w:fill="FFFFFF"/>
              </w:rPr>
              <w:t xml:space="preserve">w przypadku gdy Deweloper nie zawrze umowy mieszkaniowego rachunku powierniczego </w:t>
            </w:r>
            <w:r w:rsidRPr="0002350A">
              <w:rPr>
                <w:sz w:val="18"/>
                <w:szCs w:val="18"/>
                <w:shd w:val="clear" w:color="auto" w:fill="FFFFFF"/>
              </w:rPr>
              <w:t xml:space="preserve">z innym bankiem lub inną kasą w trybie i terminie, o których mowa </w:t>
            </w:r>
            <w:hyperlink r:id="rId8" w:history="1">
              <w:r w:rsidRPr="0002350A">
                <w:rPr>
                  <w:sz w:val="18"/>
                  <w:szCs w:val="18"/>
                  <w:shd w:val="clear" w:color="auto" w:fill="FFFFFF"/>
                </w:rPr>
                <w:t>art. 10 ust. 1</w:t>
              </w:r>
            </w:hyperlink>
            <w:r w:rsidRPr="0002350A">
              <w:rPr>
                <w:sz w:val="18"/>
                <w:szCs w:val="18"/>
              </w:rPr>
              <w:t xml:space="preserve"> Ustawy Deweloperskiej</w:t>
            </w:r>
            <w:r w:rsidRPr="0002350A">
              <w:rPr>
                <w:sz w:val="18"/>
                <w:szCs w:val="18"/>
                <w:shd w:val="clear" w:color="auto" w:fill="FFFFFF"/>
              </w:rPr>
              <w:t>;</w:t>
            </w:r>
          </w:p>
          <w:p w14:paraId="7E0E2BDD"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w przypadku gdy Deweloper nie posiada zgody wierzyciela hipotecznego lub zobowiązania do jej udzielenia, o których mowa w art. 25 ust. 1 pkt 1 Ustawy Deweloperskiej,</w:t>
            </w:r>
          </w:p>
          <w:p w14:paraId="00B5B7A6" w14:textId="77777777" w:rsidR="00461D9E" w:rsidRPr="0002350A" w:rsidRDefault="00461D9E" w:rsidP="00461D9E">
            <w:pPr>
              <w:pStyle w:val="Akapitzlist"/>
              <w:numPr>
                <w:ilvl w:val="0"/>
                <w:numId w:val="47"/>
              </w:numPr>
              <w:spacing w:after="0"/>
              <w:ind w:left="411"/>
              <w:jc w:val="both"/>
              <w:rPr>
                <w:sz w:val="18"/>
                <w:szCs w:val="18"/>
              </w:rPr>
            </w:pPr>
            <w:r w:rsidRPr="0002350A">
              <w:rPr>
                <w:color w:val="000000" w:themeColor="text1"/>
                <w:sz w:val="18"/>
                <w:szCs w:val="18"/>
                <w:shd w:val="clear" w:color="auto" w:fill="FFFFFF"/>
              </w:rPr>
              <w:t>w przypadku niewykonania przez Dewelopera obowiązku, o którym mowa w </w:t>
            </w:r>
            <w:hyperlink r:id="rId9" w:history="1">
              <w:r w:rsidRPr="0002350A">
                <w:rPr>
                  <w:color w:val="000000" w:themeColor="text1"/>
                  <w:sz w:val="18"/>
                  <w:szCs w:val="18"/>
                  <w:shd w:val="clear" w:color="auto" w:fill="FFFFFF"/>
                </w:rPr>
                <w:t>art. 12 ust. 2</w:t>
              </w:r>
            </w:hyperlink>
            <w:r w:rsidRPr="0002350A">
              <w:rPr>
                <w:color w:val="000000" w:themeColor="text1"/>
                <w:sz w:val="18"/>
                <w:szCs w:val="18"/>
              </w:rPr>
              <w:t xml:space="preserve"> Ustawy Deweloperskiej</w:t>
            </w:r>
            <w:r w:rsidRPr="0002350A">
              <w:rPr>
                <w:color w:val="000000" w:themeColor="text1"/>
                <w:sz w:val="18"/>
                <w:szCs w:val="18"/>
                <w:shd w:val="clear" w:color="auto" w:fill="FFFFFF"/>
              </w:rPr>
              <w:t>, w terminie określonym w tym przepisie.</w:t>
            </w:r>
          </w:p>
          <w:p w14:paraId="5653172C"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w przypadku nieusunięcia przez Deweloper wady istotnej lokalu mieszkalnego albo domu jednorodzinnego na zasadach określonych w art. 41 ust. 11 Ustawy Deweloperskiej;</w:t>
            </w:r>
          </w:p>
          <w:p w14:paraId="4CACD1D8"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w przypadku stwierdzenia przez rzeczoznawcę istnienia wady istotnej, o którym mowa w art. 41 ust. 15 Ustawy Deweloperskiej;</w:t>
            </w:r>
          </w:p>
          <w:p w14:paraId="1CFB2F20" w14:textId="77777777" w:rsidR="00461D9E" w:rsidRPr="0002350A" w:rsidRDefault="00461D9E" w:rsidP="00461D9E">
            <w:pPr>
              <w:pStyle w:val="Akapitzlist"/>
              <w:numPr>
                <w:ilvl w:val="0"/>
                <w:numId w:val="47"/>
              </w:numPr>
              <w:spacing w:after="0"/>
              <w:ind w:left="411"/>
              <w:jc w:val="both"/>
              <w:rPr>
                <w:sz w:val="18"/>
                <w:szCs w:val="18"/>
              </w:rPr>
            </w:pPr>
            <w:r w:rsidRPr="0002350A">
              <w:rPr>
                <w:sz w:val="18"/>
                <w:szCs w:val="18"/>
              </w:rPr>
              <w:t>jeżeli syndyk zażądał wykonania umowy na podstawie art. 98 ustawy z dnia 28 lutego 2003 r. – Prawo upadłościowe.</w:t>
            </w:r>
          </w:p>
          <w:p w14:paraId="6B4BA86D"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Nabywcy służy prawo odstąpienia od umowy w terminie 30 (trzydziestu) dni od zawarcia umowy deweloperskiej z przyczyn wymienionych w punktach 1) – 5)</w:t>
            </w:r>
            <w:r w:rsidRPr="0002350A">
              <w:rPr>
                <w:rFonts w:eastAsia="Gulim"/>
                <w:sz w:val="18"/>
                <w:szCs w:val="18"/>
              </w:rPr>
              <w:t>, w sytuacji określonej w pkt. 7)</w:t>
            </w:r>
            <w:r w:rsidRPr="0002350A">
              <w:rPr>
                <w:sz w:val="18"/>
                <w:szCs w:val="18"/>
              </w:rPr>
              <w:t xml:space="preserve">, po dokonaniu przez bank zwrotu środków zgodnie z art. 10 ust. 3 </w:t>
            </w:r>
            <w:r w:rsidRPr="0002350A">
              <w:rPr>
                <w:color w:val="000000" w:themeColor="text1"/>
                <w:sz w:val="18"/>
                <w:szCs w:val="18"/>
              </w:rPr>
              <w:t xml:space="preserve">ustawy  z dnia 20 maja 2021 roku o ochronie praw nabywcy lokalu mieszkalnego lub domu jednorodzinnego oraz Deweloperskim Funduszu Gwarancyjnym, zaś w sytuacji określonej w pkt. 8) </w:t>
            </w:r>
            <w:r w:rsidRPr="0002350A">
              <w:rPr>
                <w:sz w:val="18"/>
                <w:szCs w:val="18"/>
              </w:rPr>
              <w:t xml:space="preserve">po upływie 60 dni od dnia podania </w:t>
            </w:r>
            <w:r w:rsidRPr="0002350A">
              <w:rPr>
                <w:sz w:val="18"/>
                <w:szCs w:val="18"/>
              </w:rPr>
              <w:lastRenderedPageBreak/>
              <w:t>do publicznej wiadomości informacji, o których mowa w art. 12 ust. 1</w:t>
            </w:r>
            <w:r w:rsidRPr="0002350A">
              <w:rPr>
                <w:color w:val="000000" w:themeColor="text1"/>
                <w:sz w:val="18"/>
                <w:szCs w:val="18"/>
              </w:rPr>
              <w:t xml:space="preserve"> ustawy  z dnia 20 maja 2021 roku o ochronie praw nabywcy lokalu mieszkalnego lub domu jednorodzinnego oraz Deweloperskim Funduszu Gwarancyjnym</w:t>
            </w:r>
            <w:r w:rsidRPr="0002350A">
              <w:rPr>
                <w:sz w:val="18"/>
                <w:szCs w:val="18"/>
              </w:rPr>
              <w:t>. -</w:t>
            </w:r>
          </w:p>
          <w:p w14:paraId="50895A94"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 xml:space="preserve">W przypadku, o którym mowa wyżej ust. 1 pkt 6), przed skorzystaniem z prawa do odstąpienia od Umowy Deweloperskiej Nabywca zobowiązany jest wyznaczyć Deweloperowi 120-dniowy termin na przeniesienie prawa własności Lokalu, a w razie bezskutecznego upływu wyznaczonego terminu, Nabywca będzie uprawniony do odstąpienia od niniejszej Umowy Deweloperskiej. Nabywca zachowuje roszczenie z tytułu kary umownej za okres opóźnienia w przeniesieniu prawa. </w:t>
            </w:r>
          </w:p>
          <w:p w14:paraId="4064B8B5" w14:textId="77777777" w:rsidR="00461D9E" w:rsidRPr="0002350A" w:rsidRDefault="00461D9E" w:rsidP="00461D9E">
            <w:pPr>
              <w:pStyle w:val="Akapitzlist"/>
              <w:numPr>
                <w:ilvl w:val="0"/>
                <w:numId w:val="46"/>
              </w:numPr>
              <w:spacing w:after="0"/>
              <w:jc w:val="both"/>
              <w:rPr>
                <w:rStyle w:val="Numerstrony"/>
                <w:rFonts w:eastAsiaTheme="majorEastAsia"/>
                <w:sz w:val="18"/>
                <w:szCs w:val="18"/>
              </w:rPr>
            </w:pPr>
            <w:r w:rsidRPr="0002350A">
              <w:rPr>
                <w:rStyle w:val="Numerstrony"/>
                <w:rFonts w:eastAsiaTheme="majorEastAsia"/>
                <w:sz w:val="18"/>
                <w:szCs w:val="18"/>
              </w:rPr>
              <w:t xml:space="preserve">W przypadku, o którym mowa w ust. 1 pkt 7, nabywca ma prawo odstąpienia od umowy deweloperskiej, po dokonaniu przez bank zwrotu środków zgodnie z art. 10 ust. 3 Ustawy Deweloperskiej. </w:t>
            </w:r>
          </w:p>
          <w:p w14:paraId="730EC288" w14:textId="77777777" w:rsidR="00461D9E" w:rsidRPr="0002350A" w:rsidRDefault="00461D9E" w:rsidP="00461D9E">
            <w:pPr>
              <w:pStyle w:val="Akapitzlist"/>
              <w:numPr>
                <w:ilvl w:val="0"/>
                <w:numId w:val="46"/>
              </w:numPr>
              <w:spacing w:after="0"/>
              <w:jc w:val="both"/>
              <w:rPr>
                <w:rStyle w:val="Numerstrony"/>
                <w:rFonts w:eastAsiaTheme="majorEastAsia"/>
                <w:sz w:val="18"/>
                <w:szCs w:val="18"/>
              </w:rPr>
            </w:pPr>
            <w:r w:rsidRPr="0002350A">
              <w:rPr>
                <w:rStyle w:val="Numerstrony"/>
                <w:rFonts w:eastAsiaTheme="majorEastAsia"/>
                <w:sz w:val="18"/>
                <w:szCs w:val="18"/>
              </w:rPr>
              <w:t xml:space="preserve">W przypadku, o którym mowa w ust. 1 pkt 8, nabywca ma prawo odstąpienia od umowy deweloperskiej, w terminie 60 dni od dnia jej zawarcia. </w:t>
            </w:r>
          </w:p>
          <w:p w14:paraId="1849BFE3" w14:textId="77777777" w:rsidR="00461D9E" w:rsidRPr="0002350A" w:rsidRDefault="00461D9E" w:rsidP="00461D9E">
            <w:pPr>
              <w:pStyle w:val="Akapitzlist"/>
              <w:numPr>
                <w:ilvl w:val="0"/>
                <w:numId w:val="46"/>
              </w:numPr>
              <w:spacing w:after="0"/>
              <w:jc w:val="both"/>
              <w:rPr>
                <w:sz w:val="18"/>
                <w:szCs w:val="18"/>
              </w:rPr>
            </w:pPr>
            <w:r w:rsidRPr="0002350A">
              <w:rPr>
                <w:rStyle w:val="Numerstrony"/>
                <w:rFonts w:eastAsiaTheme="majorEastAsia"/>
                <w:sz w:val="18"/>
                <w:szCs w:val="18"/>
              </w:rPr>
              <w:t xml:space="preserve">W przypadku, o którym mowa w ust. 1 pkt 9, nabywca ma prawo odstąpienia od umowy deweloperskiej po upływie 60 dni od dnia podania do publicznej wiadomości informacji, o których mowa w art. 12 ust. 1 Ustawy Deweloperskiej. </w:t>
            </w:r>
          </w:p>
          <w:p w14:paraId="60533144" w14:textId="77777777" w:rsidR="00461D9E" w:rsidRPr="0002350A" w:rsidRDefault="00461D9E" w:rsidP="00461D9E">
            <w:pPr>
              <w:pStyle w:val="Akapitzlist"/>
              <w:numPr>
                <w:ilvl w:val="0"/>
                <w:numId w:val="46"/>
              </w:numPr>
              <w:spacing w:after="0"/>
              <w:jc w:val="both"/>
              <w:rPr>
                <w:sz w:val="18"/>
                <w:szCs w:val="18"/>
              </w:rPr>
            </w:pPr>
            <w:r w:rsidRPr="0002350A">
              <w:rPr>
                <w:bCs/>
                <w:sz w:val="18"/>
                <w:szCs w:val="18"/>
              </w:rPr>
              <w:t>Nabywca</w:t>
            </w:r>
            <w:r w:rsidRPr="0002350A">
              <w:rPr>
                <w:sz w:val="18"/>
                <w:szCs w:val="18"/>
              </w:rPr>
              <w:t xml:space="preserve"> ma także prawo odstąpienia od Umowy Deweloperskiej:  </w:t>
            </w:r>
          </w:p>
          <w:p w14:paraId="7295FAAE" w14:textId="77777777" w:rsidR="00461D9E" w:rsidRPr="0002350A" w:rsidRDefault="00461D9E" w:rsidP="00461D9E">
            <w:pPr>
              <w:pStyle w:val="Akapitzlist"/>
              <w:numPr>
                <w:ilvl w:val="0"/>
                <w:numId w:val="13"/>
              </w:numPr>
              <w:spacing w:after="0"/>
              <w:ind w:left="411" w:hanging="411"/>
              <w:jc w:val="both"/>
              <w:rPr>
                <w:sz w:val="18"/>
                <w:szCs w:val="18"/>
              </w:rPr>
            </w:pPr>
            <w:r w:rsidRPr="0002350A">
              <w:rPr>
                <w:sz w:val="18"/>
                <w:szCs w:val="18"/>
              </w:rPr>
              <w:t>w przypadku wzrostu Ceny Nabycia w związku ze zmianą stawki podatku od towarów i usług. W takim przypadku Nabywca może wykonać prawo odstąpienia w terminie 30 dni od dnia pisemnego zawiadomienia Nabywcy przez Dewelopera o wzroście Ceny Nabycia w związku ze zmianą stawki podatku od towarów i usług;</w:t>
            </w:r>
          </w:p>
          <w:p w14:paraId="7EBEE483" w14:textId="138C1765" w:rsidR="00461D9E" w:rsidRPr="0002350A" w:rsidRDefault="00766EF3" w:rsidP="00461D9E">
            <w:pPr>
              <w:pStyle w:val="Akapitzlist"/>
              <w:numPr>
                <w:ilvl w:val="0"/>
                <w:numId w:val="13"/>
              </w:numPr>
              <w:spacing w:after="0"/>
              <w:ind w:left="411"/>
              <w:jc w:val="both"/>
              <w:rPr>
                <w:sz w:val="18"/>
                <w:szCs w:val="18"/>
              </w:rPr>
            </w:pPr>
            <w:r w:rsidRPr="00766EF3">
              <w:rPr>
                <w:sz w:val="18"/>
                <w:szCs w:val="18"/>
              </w:rPr>
              <w:t>w przypadku, gdy zmiana powierzchni użytkowej Lokalu, ustalonej w wyniku pomiaru powykonawczego dokonanego po wybudowaniu Lokalu, przekracza 2% w stosunku do projektowanej powierzchni użytkowej Lokalu, podanej w Umowie Deweloperskiej, Nabywca może wykonać prawo odstąpienia w terminie 30 dni od dnia pisemnego zawiadomienia Nabywcy przez Dewelopera o zmianie powierzchni użytkowej Lokalu. Powyższe uprawnienie do odstąpienia od Umowy Deweloperskiej nie obejmuje przypadku, gdy zmiana powierzchni użytkowej wynika z realizacji zleceń aranżacyjnych i zmian, o których mowa w Umowie Deweloperski</w:t>
            </w:r>
            <w:r>
              <w:rPr>
                <w:sz w:val="18"/>
                <w:szCs w:val="18"/>
              </w:rPr>
              <w:t>ej</w:t>
            </w:r>
            <w:r w:rsidR="00461D9E" w:rsidRPr="0002350A">
              <w:rPr>
                <w:sz w:val="18"/>
                <w:szCs w:val="18"/>
              </w:rPr>
              <w:t xml:space="preserve">. </w:t>
            </w:r>
          </w:p>
          <w:p w14:paraId="7C5166CE" w14:textId="77777777" w:rsidR="00461D9E" w:rsidRPr="0002350A" w:rsidRDefault="00461D9E" w:rsidP="00461D9E">
            <w:pPr>
              <w:pStyle w:val="Akapitzlist"/>
              <w:numPr>
                <w:ilvl w:val="0"/>
                <w:numId w:val="46"/>
              </w:numPr>
              <w:spacing w:after="0"/>
              <w:jc w:val="both"/>
              <w:rPr>
                <w:sz w:val="18"/>
                <w:szCs w:val="18"/>
              </w:rPr>
            </w:pPr>
            <w:r w:rsidRPr="0002350A">
              <w:rPr>
                <w:bCs/>
                <w:sz w:val="18"/>
                <w:szCs w:val="18"/>
              </w:rPr>
              <w:t>Deweloper</w:t>
            </w:r>
            <w:r w:rsidRPr="0002350A">
              <w:rPr>
                <w:sz w:val="18"/>
                <w:szCs w:val="18"/>
              </w:rPr>
              <w:t xml:space="preserve"> ma prawo odstąpić od Umowy Deweloperskiej w przypadku niespełnienia przez Nabywcę świadczenia pieniężnego na poczet Ceny Nabycia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  </w:t>
            </w:r>
          </w:p>
          <w:p w14:paraId="59E1D85B" w14:textId="77777777" w:rsidR="00461D9E" w:rsidRPr="0002350A" w:rsidRDefault="00461D9E" w:rsidP="00461D9E">
            <w:pPr>
              <w:pStyle w:val="Akapitzlist"/>
              <w:numPr>
                <w:ilvl w:val="0"/>
                <w:numId w:val="46"/>
              </w:numPr>
              <w:spacing w:after="0"/>
              <w:jc w:val="both"/>
              <w:rPr>
                <w:sz w:val="18"/>
                <w:szCs w:val="18"/>
              </w:rPr>
            </w:pPr>
            <w:r w:rsidRPr="0002350A">
              <w:rPr>
                <w:bCs/>
                <w:sz w:val="18"/>
                <w:szCs w:val="18"/>
              </w:rPr>
              <w:t>Deweloper</w:t>
            </w:r>
            <w:r w:rsidRPr="0002350A">
              <w:rPr>
                <w:sz w:val="18"/>
                <w:szCs w:val="18"/>
              </w:rPr>
              <w:t xml:space="preserve"> ma prawo odstąpić od Umowy Deweloperskiej w przypadku niestawienia się Nabywcy do odbioru Lokalu lub podpisania aktu notarialnego Umowy Przeniesienia Własności, pomimo dwukrotnego doręczenia Nabywcy wezwania w formie pisemnej w odstępie co najmniej 60 dni, chyba że niestawienie się Nabywcy jest spowodowane działaniem siły wyższej. </w:t>
            </w:r>
          </w:p>
          <w:p w14:paraId="48360E13"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 xml:space="preserve">W przypadku skorzystania przez Nabywcę z prawa odstąpienia, o którym mowa wyżej w ust. 1 i ust. 7, Umowa Deweloperska uważana jest za niezawartą. Kwoty wpłacone przez Nabywcę w wykonaniu niniejszej Umowy Deweloperskiej podlegają zwrotowi na jego </w:t>
            </w:r>
            <w:r w:rsidRPr="0002350A">
              <w:rPr>
                <w:rStyle w:val="Numerstrony"/>
                <w:rFonts w:eastAsiaTheme="majorEastAsia"/>
                <w:sz w:val="18"/>
                <w:szCs w:val="18"/>
              </w:rPr>
              <w:t>rzecz w wysokości nominalnej na zasadach opisanych w umowie deweloperskiej</w:t>
            </w:r>
            <w:r w:rsidRPr="0002350A" w:rsidDel="001B0035">
              <w:rPr>
                <w:sz w:val="18"/>
                <w:szCs w:val="18"/>
              </w:rPr>
              <w:t xml:space="preserve"> </w:t>
            </w:r>
            <w:r w:rsidRPr="0002350A">
              <w:rPr>
                <w:sz w:val="18"/>
                <w:szCs w:val="18"/>
              </w:rPr>
              <w:t xml:space="preserve">. </w:t>
            </w:r>
          </w:p>
          <w:p w14:paraId="5CC6C1C6"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Oświadczenie woli Nabywcy o odstąpieniu od Umowy Deweloperskiej jest skuteczne, jeżeli zawiera zgodę Nabywcy na wykreślenie z księgi wieczystej roszczenia o przeniesienie własności Lokalu, złożone w formie pisemnej z podpisami notarialnie poświadczonymi.</w:t>
            </w:r>
          </w:p>
          <w:p w14:paraId="50049EB9"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 xml:space="preserve">W razie odstąpienia od niniejszej Umowy Deweloperskiej przez Nabywcę z powodu niewykonania lub nienależytego wykonania zobowiązań przez Dewelopera wynikających z niniejszej Umowy Deweloperskiej, Deweloper zobowiązany będzie do zapłaty Nabywcy kary umownej w wysokości 3% Ceny Nabycia określonej w § 6 niniejszej Umowy Deweloperskiej. Kara umowna płatna będzie w terminie 30 dni od dnia odstąpienia przez Nabywcę od niniejszej Umowy Deweloperskiej oraz dostarczenia Deweloperowi pozostałych dokumentów, o których mowa wyżej w </w:t>
            </w:r>
            <w:r w:rsidRPr="0002350A">
              <w:rPr>
                <w:rStyle w:val="Numerstrony"/>
                <w:rFonts w:eastAsiaTheme="majorEastAsia"/>
                <w:sz w:val="18"/>
                <w:szCs w:val="18"/>
              </w:rPr>
              <w:t>§ 9 niniejszej umowy deweloperskiej</w:t>
            </w:r>
            <w:r w:rsidRPr="0002350A">
              <w:rPr>
                <w:sz w:val="18"/>
                <w:szCs w:val="18"/>
              </w:rPr>
              <w:t>.</w:t>
            </w:r>
          </w:p>
          <w:p w14:paraId="5C49F838" w14:textId="77777777" w:rsidR="00461D9E" w:rsidRPr="0002350A" w:rsidRDefault="00461D9E" w:rsidP="00461D9E">
            <w:pPr>
              <w:pStyle w:val="Akapitzlist"/>
              <w:numPr>
                <w:ilvl w:val="0"/>
                <w:numId w:val="46"/>
              </w:numPr>
              <w:spacing w:after="0"/>
              <w:jc w:val="both"/>
              <w:rPr>
                <w:sz w:val="18"/>
                <w:szCs w:val="18"/>
              </w:rPr>
            </w:pPr>
            <w:r w:rsidRPr="0002350A">
              <w:rPr>
                <w:sz w:val="18"/>
                <w:szCs w:val="18"/>
              </w:rPr>
              <w:t xml:space="preserve">W razie odstąpienia od niniejszej Umowy Deweloperskiej przez Dewelopera z powodu niewykonania lub nienależytego wykonania przez Nabywcę zobowiązań wynikających z niniejszej Umowy Deweloperskiej, Nabywca zobowiązany będzie do zapłaty Deweloperowi kary umownej w wysokości 3% Ceny </w:t>
            </w:r>
            <w:r w:rsidRPr="0002350A">
              <w:rPr>
                <w:b/>
                <w:bCs/>
                <w:sz w:val="18"/>
                <w:szCs w:val="18"/>
              </w:rPr>
              <w:t>Nabycia</w:t>
            </w:r>
            <w:r w:rsidRPr="0002350A">
              <w:rPr>
                <w:sz w:val="18"/>
                <w:szCs w:val="18"/>
              </w:rPr>
              <w:t xml:space="preserve"> określonej w Umowie Deweloperskiej.</w:t>
            </w:r>
          </w:p>
          <w:p w14:paraId="487078BE" w14:textId="77777777" w:rsidR="0066261E" w:rsidRDefault="00461D9E" w:rsidP="0066261E">
            <w:pPr>
              <w:pStyle w:val="Akapitzlist"/>
              <w:numPr>
                <w:ilvl w:val="0"/>
                <w:numId w:val="46"/>
              </w:numPr>
              <w:spacing w:after="0"/>
              <w:jc w:val="both"/>
              <w:rPr>
                <w:sz w:val="18"/>
                <w:szCs w:val="18"/>
              </w:rPr>
            </w:pPr>
            <w:r w:rsidRPr="0002350A">
              <w:rPr>
                <w:sz w:val="18"/>
                <w:szCs w:val="18"/>
              </w:rPr>
              <w:t xml:space="preserve">W przypadku odstąpienia od Umowy Deweloperskiej przez Dewelopera na podstawie postanowień ust. 8 i/lub ust. 9 wyżej, Nabywca zobowiązany jest złożyć i doręczyć Deweloperowi w terminie 14 dni od dnia złożenia Nabywcy oświadczenia Dewelopera o odstąpieniu od Umowy Deweloperskiej </w:t>
            </w:r>
            <w:r w:rsidRPr="0002350A">
              <w:rPr>
                <w:sz w:val="18"/>
                <w:szCs w:val="18"/>
              </w:rPr>
              <w:lastRenderedPageBreak/>
              <w:t>- oświadczenie w formie pisemnej z podpisami notarialnie poświadczonymi - zawierające zgodę Nabywcy na wykreślenie z księgi wieczystej roszczenia o przeniesienie własności Lokalu z podpisem notarialnie poświadczonym oraz wskazanie numeru rachunku bankowego, na który ma nastąpić zwrot kwot należnych Nabywcy. W przypadku nieprzekazania Deweloperowi przez Nabywcę w/w oświadczenia w zakreślonym powyżej terminie Deweloperowi przysługuje od Nabywcy kara umowna w wysokości 10 zł (dziesięć złotych) licząc za każdy dzień opóźnienia w przekazaniu przez Nabywcę w/w oświadczenia.</w:t>
            </w:r>
          </w:p>
          <w:p w14:paraId="226A62A8" w14:textId="34515256" w:rsidR="00461D9E" w:rsidRPr="0066261E" w:rsidRDefault="00461D9E" w:rsidP="0066261E">
            <w:pPr>
              <w:pStyle w:val="Akapitzlist"/>
              <w:spacing w:after="0"/>
              <w:ind w:left="360"/>
              <w:jc w:val="both"/>
              <w:rPr>
                <w:sz w:val="18"/>
                <w:szCs w:val="18"/>
              </w:rPr>
            </w:pPr>
            <w:r w:rsidRPr="0066261E">
              <w:rPr>
                <w:sz w:val="18"/>
                <w:szCs w:val="16"/>
              </w:rPr>
              <w:t xml:space="preserve">Nabywca oświadcza, że wyraża zgodę na wykreślenie przez Dewelopera z działu III księgi wieczystej </w:t>
            </w:r>
            <w:r w:rsidR="00C364B8" w:rsidRPr="00CA49CC">
              <w:rPr>
                <w:b/>
                <w:bCs/>
                <w:sz w:val="18"/>
                <w:szCs w:val="16"/>
              </w:rPr>
              <w:t>GD1G/00346318/2</w:t>
            </w:r>
            <w:r w:rsidR="00C364B8">
              <w:rPr>
                <w:sz w:val="18"/>
                <w:szCs w:val="16"/>
              </w:rPr>
              <w:t xml:space="preserve"> </w:t>
            </w:r>
            <w:r w:rsidRPr="0066261E">
              <w:rPr>
                <w:sz w:val="18"/>
                <w:szCs w:val="16"/>
              </w:rPr>
              <w:t>roszczenia, które zostanie wpisane na ich rzecz na podstawie wniosku zawartego na podstawie niniejszego aktu notarialnego, w przypadku odstąpienia od umowy deweloperskiej przez którąkolwiek ze stron niniejszej umowy</w:t>
            </w:r>
            <w:r w:rsidRPr="0066261E">
              <w:rPr>
                <w:sz w:val="18"/>
                <w:szCs w:val="18"/>
              </w:rPr>
              <w:t>.</w:t>
            </w:r>
          </w:p>
        </w:tc>
      </w:tr>
      <w:tr w:rsidR="00461D9E" w:rsidRPr="0018326A" w14:paraId="64A40B3B" w14:textId="77777777" w:rsidTr="0018326A">
        <w:trPr>
          <w:trHeight w:val="45"/>
          <w:tblCellSpacing w:w="0" w:type="auto"/>
        </w:trPr>
        <w:tc>
          <w:tcPr>
            <w:tcW w:w="10774" w:type="dxa"/>
            <w:gridSpan w:val="3"/>
            <w:tcBorders>
              <w:bottom w:val="single" w:sz="8" w:space="0" w:color="000000"/>
              <w:right w:val="single" w:sz="8" w:space="0" w:color="000000"/>
            </w:tcBorders>
            <w:tcMar>
              <w:top w:w="15" w:type="dxa"/>
              <w:left w:w="15" w:type="dxa"/>
              <w:bottom w:w="15" w:type="dxa"/>
              <w:right w:w="15" w:type="dxa"/>
            </w:tcMar>
            <w:vAlign w:val="center"/>
          </w:tcPr>
          <w:p w14:paraId="49B248F8" w14:textId="77777777" w:rsidR="00461D9E" w:rsidRPr="0018326A" w:rsidRDefault="00461D9E" w:rsidP="00461D9E">
            <w:pPr>
              <w:spacing w:after="0"/>
              <w:jc w:val="both"/>
              <w:rPr>
                <w:sz w:val="18"/>
                <w:szCs w:val="18"/>
              </w:rPr>
            </w:pPr>
            <w:r w:rsidRPr="0018326A">
              <w:rPr>
                <w:b/>
                <w:color w:val="000000"/>
                <w:sz w:val="18"/>
                <w:szCs w:val="18"/>
              </w:rPr>
              <w:lastRenderedPageBreak/>
              <w:t>INNE INFORMACJE</w:t>
            </w:r>
          </w:p>
          <w:p w14:paraId="626D3CEA" w14:textId="77777777" w:rsidR="00461D9E" w:rsidRPr="0018326A" w:rsidRDefault="00461D9E" w:rsidP="00461D9E">
            <w:pPr>
              <w:spacing w:before="25" w:after="0"/>
              <w:jc w:val="both"/>
              <w:rPr>
                <w:sz w:val="18"/>
                <w:szCs w:val="18"/>
              </w:rPr>
            </w:pPr>
            <w:r w:rsidRPr="0018326A">
              <w:rPr>
                <w:sz w:val="18"/>
                <w:szCs w:val="18"/>
              </w:rPr>
              <w:t xml:space="preserve">Deweloper oświadcza, że aktualnie Przedsięwzięcie Deweloperskie jest finansowane </w:t>
            </w:r>
            <w:r w:rsidRPr="00C364B8">
              <w:rPr>
                <w:sz w:val="18"/>
                <w:szCs w:val="18"/>
              </w:rPr>
              <w:t>bez udziału kredytu bankowego</w:t>
            </w:r>
            <w:r w:rsidRPr="0018326A">
              <w:rPr>
                <w:sz w:val="18"/>
                <w:szCs w:val="18"/>
              </w:rPr>
              <w:t xml:space="preserve">. Jednakże, Deweloper nie wyklucza w przyszłości finansowania realizacji Przedsięwzięcia Deweloperskiego za pomocą kredytu bankowego, w związku z czym Nieruchomość może zostać obciążona hipoteką ustanowioną na zabezpieczenie spłaty tego kredytu, w takim przypadku Deweloper zobowiązuje się uzyskać zgodę na </w:t>
            </w:r>
            <w:proofErr w:type="spellStart"/>
            <w:r w:rsidRPr="0018326A">
              <w:rPr>
                <w:sz w:val="18"/>
                <w:szCs w:val="18"/>
              </w:rPr>
              <w:t>bezobciążeniowe</w:t>
            </w:r>
            <w:proofErr w:type="spellEnd"/>
            <w:r w:rsidRPr="0018326A">
              <w:rPr>
                <w:sz w:val="18"/>
                <w:szCs w:val="18"/>
              </w:rPr>
              <w:t xml:space="preserve"> </w:t>
            </w:r>
            <w:proofErr w:type="spellStart"/>
            <w:r w:rsidRPr="0018326A">
              <w:rPr>
                <w:sz w:val="18"/>
                <w:szCs w:val="18"/>
              </w:rPr>
              <w:t>bezciężarowe</w:t>
            </w:r>
            <w:proofErr w:type="spellEnd"/>
            <w:r w:rsidRPr="0018326A">
              <w:rPr>
                <w:sz w:val="18"/>
                <w:szCs w:val="18"/>
              </w:rPr>
              <w:t xml:space="preserve"> wyodrębnianie lokali mieszkalnych zgodnie z art. 25 Ustawy Deweloperskiej  albo spłacić zobowiązanie hipoteczne w terminie do dnia zawarcia pierwszej Umowy Przeniesienia Własności w ramach Przedsięwzięcia Deweloperskiego i uzyskać stosowne dokumenty ten fakt potwierdzające oraz złożyć wniosek do właściwego Sądu Rejonowego Wydziału Ksiąg Wieczystych księgi wieczystej o wykreślenie tej hipoteki. Ponadto w takim wypadku Deweloper zobowiązuje się do niezwłocznego przedstawienia osobom zainteresowanym zawarciem umowy deweloperskiej, informacji o posiadaniu takiej zgody lub zobowiązania do jej udzielenia albo informację o braku takiej zgody lub takiego zobowiązania.</w:t>
            </w:r>
          </w:p>
          <w:p w14:paraId="13C6B80C" w14:textId="77777777" w:rsidR="00461D9E" w:rsidRPr="0018326A" w:rsidRDefault="00461D9E" w:rsidP="00461D9E">
            <w:pPr>
              <w:spacing w:before="25" w:after="0"/>
              <w:jc w:val="both"/>
              <w:rPr>
                <w:color w:val="000000"/>
                <w:sz w:val="18"/>
                <w:szCs w:val="18"/>
              </w:rPr>
            </w:pPr>
          </w:p>
          <w:p w14:paraId="498F726F" w14:textId="77777777" w:rsidR="00461D9E" w:rsidRPr="0018326A" w:rsidRDefault="00461D9E" w:rsidP="00461D9E">
            <w:pPr>
              <w:jc w:val="both"/>
              <w:rPr>
                <w:sz w:val="18"/>
                <w:szCs w:val="18"/>
              </w:rPr>
            </w:pPr>
            <w:r w:rsidRPr="0018326A">
              <w:rPr>
                <w:sz w:val="18"/>
                <w:szCs w:val="18"/>
              </w:rPr>
              <w:t>Deweloper informuje, że istnieje możliwość zapoznania się w siedzibie Dewelopera przez osobę zainteresowaną zawarciem umowy deweloperskiej</w:t>
            </w:r>
            <w:r w:rsidRPr="0018326A">
              <w:rPr>
                <w:color w:val="000000"/>
                <w:sz w:val="18"/>
                <w:szCs w:val="18"/>
              </w:rPr>
              <w:t>:</w:t>
            </w:r>
          </w:p>
          <w:p w14:paraId="1F25F081" w14:textId="77777777" w:rsidR="00461D9E" w:rsidRPr="0018326A" w:rsidRDefault="00461D9E" w:rsidP="00461D9E">
            <w:pPr>
              <w:spacing w:before="25" w:after="0"/>
              <w:jc w:val="both"/>
              <w:rPr>
                <w:sz w:val="18"/>
                <w:szCs w:val="18"/>
              </w:rPr>
            </w:pPr>
            <w:r w:rsidRPr="0018326A">
              <w:rPr>
                <w:color w:val="000000"/>
                <w:sz w:val="18"/>
                <w:szCs w:val="18"/>
              </w:rPr>
              <w:t>1) aktualnym stanem księgi wieczystej prowadzonej dla nieruchomości;</w:t>
            </w:r>
          </w:p>
          <w:p w14:paraId="0D885916" w14:textId="77777777" w:rsidR="00461D9E" w:rsidRPr="0018326A" w:rsidRDefault="00461D9E" w:rsidP="00461D9E">
            <w:pPr>
              <w:spacing w:before="25" w:after="0"/>
              <w:jc w:val="both"/>
              <w:rPr>
                <w:sz w:val="18"/>
                <w:szCs w:val="18"/>
              </w:rPr>
            </w:pPr>
            <w:r w:rsidRPr="0018326A">
              <w:rPr>
                <w:color w:val="000000"/>
                <w:sz w:val="18"/>
                <w:szCs w:val="18"/>
              </w:rPr>
              <w:t>2) aktualnym odpisem, wyciągiem, zaświadczeniem lub wydrukiem komputerowym z Centralnej Informacji Krajowego Rejestru Sądowego;</w:t>
            </w:r>
          </w:p>
          <w:p w14:paraId="42CE5AC3" w14:textId="77777777" w:rsidR="00461D9E" w:rsidRPr="0018326A" w:rsidRDefault="00461D9E" w:rsidP="00461D9E">
            <w:pPr>
              <w:spacing w:before="25" w:after="0"/>
              <w:jc w:val="both"/>
              <w:rPr>
                <w:sz w:val="18"/>
                <w:szCs w:val="18"/>
              </w:rPr>
            </w:pPr>
            <w:r w:rsidRPr="0018326A">
              <w:rPr>
                <w:color w:val="000000"/>
                <w:sz w:val="18"/>
                <w:szCs w:val="18"/>
              </w:rPr>
              <w:t>3) pozwoleniem na budowę;</w:t>
            </w:r>
          </w:p>
          <w:p w14:paraId="017CC668" w14:textId="77777777" w:rsidR="00461D9E" w:rsidRPr="0018326A" w:rsidRDefault="00461D9E" w:rsidP="00461D9E">
            <w:pPr>
              <w:spacing w:before="25" w:after="0"/>
              <w:jc w:val="both"/>
              <w:rPr>
                <w:sz w:val="18"/>
                <w:szCs w:val="18"/>
              </w:rPr>
            </w:pPr>
            <w:r w:rsidRPr="0018326A">
              <w:rPr>
                <w:color w:val="000000"/>
                <w:sz w:val="18"/>
                <w:szCs w:val="18"/>
              </w:rPr>
              <w:t>4) sprawozdaniem finansowym dewelopera za ostatnie dwa lata, a w przypadku:</w:t>
            </w:r>
          </w:p>
          <w:p w14:paraId="2AD435E9" w14:textId="77777777" w:rsidR="00461D9E" w:rsidRPr="0018326A" w:rsidRDefault="00461D9E" w:rsidP="00461D9E">
            <w:pPr>
              <w:spacing w:before="25" w:after="0"/>
              <w:jc w:val="both"/>
              <w:rPr>
                <w:sz w:val="18"/>
                <w:szCs w:val="18"/>
              </w:rPr>
            </w:pPr>
            <w:r w:rsidRPr="0018326A">
              <w:rPr>
                <w:color w:val="000000"/>
                <w:sz w:val="18"/>
                <w:szCs w:val="18"/>
              </w:rPr>
              <w:t>a) prowadzenia działalności przez okres krótszy niż dwa lata - sprawozdaniem finansowym za okres ostatniego roku,</w:t>
            </w:r>
          </w:p>
          <w:p w14:paraId="2A24F2FB" w14:textId="77777777" w:rsidR="00461D9E" w:rsidRPr="0018326A" w:rsidRDefault="00461D9E" w:rsidP="00461D9E">
            <w:pPr>
              <w:spacing w:before="25" w:after="0"/>
              <w:jc w:val="both"/>
              <w:rPr>
                <w:sz w:val="18"/>
                <w:szCs w:val="18"/>
              </w:rPr>
            </w:pPr>
            <w:r w:rsidRPr="0018326A">
              <w:rPr>
                <w:color w:val="000000"/>
                <w:sz w:val="18"/>
                <w:szCs w:val="18"/>
              </w:rPr>
              <w:t>b) realizacji inwestycji przez spółkę celową - sprawozdaniem spółki dominującej oraz spółki celowej;</w:t>
            </w:r>
          </w:p>
          <w:p w14:paraId="668A4329" w14:textId="77777777" w:rsidR="00461D9E" w:rsidRDefault="00461D9E" w:rsidP="00461D9E">
            <w:pPr>
              <w:spacing w:before="25" w:after="0"/>
              <w:jc w:val="both"/>
              <w:rPr>
                <w:color w:val="000000"/>
                <w:sz w:val="18"/>
                <w:szCs w:val="18"/>
              </w:rPr>
            </w:pPr>
            <w:r w:rsidRPr="0018326A">
              <w:rPr>
                <w:color w:val="000000"/>
                <w:sz w:val="18"/>
                <w:szCs w:val="18"/>
              </w:rPr>
              <w:t>5) projektem budowlanym;</w:t>
            </w:r>
          </w:p>
          <w:p w14:paraId="5AFA531E" w14:textId="77777777" w:rsidR="00461D9E" w:rsidRDefault="00461D9E" w:rsidP="00461D9E">
            <w:pPr>
              <w:spacing w:before="25" w:after="0"/>
              <w:jc w:val="both"/>
              <w:rPr>
                <w:color w:val="000000"/>
                <w:sz w:val="18"/>
                <w:szCs w:val="18"/>
              </w:rPr>
            </w:pPr>
          </w:p>
          <w:p w14:paraId="562500FF" w14:textId="1C222B22" w:rsidR="00461D9E" w:rsidRPr="0066261E" w:rsidRDefault="00766EF3" w:rsidP="0066261E">
            <w:pPr>
              <w:jc w:val="both"/>
              <w:rPr>
                <w:sz w:val="18"/>
                <w:szCs w:val="18"/>
              </w:rPr>
            </w:pPr>
            <w:r w:rsidRPr="00766EF3">
              <w:rPr>
                <w:sz w:val="18"/>
                <w:szCs w:val="18"/>
              </w:rPr>
              <w:t>Powierzchnia użytkowa lokalu zostanie ustalona ostatecznie na podstawie pomiarów powykonawczych zgodnie z normą PN-ISO 9836:2022-07, z uwzględnieniem przepisów dotyczących zaliczania do tej powierzchni pomieszczeń przynależnych zależnie od ich wysokości zgodnie z ustawą o podatkach i opłatach lokalnych z dnia z dnia 12 stycznia 1991 r. ze zmianami.</w:t>
            </w:r>
          </w:p>
        </w:tc>
      </w:tr>
      <w:tr w:rsidR="00C364B8" w:rsidRPr="0018326A" w14:paraId="2625D108" w14:textId="77777777" w:rsidTr="0018326A">
        <w:trPr>
          <w:trHeight w:val="45"/>
          <w:tblCellSpacing w:w="0" w:type="auto"/>
        </w:trPr>
        <w:tc>
          <w:tcPr>
            <w:tcW w:w="10774" w:type="dxa"/>
            <w:gridSpan w:val="3"/>
            <w:tcBorders>
              <w:bottom w:val="single" w:sz="8" w:space="0" w:color="000000"/>
              <w:right w:val="single" w:sz="8" w:space="0" w:color="000000"/>
            </w:tcBorders>
            <w:tcMar>
              <w:top w:w="15" w:type="dxa"/>
              <w:left w:w="15" w:type="dxa"/>
              <w:bottom w:w="15" w:type="dxa"/>
              <w:right w:w="15" w:type="dxa"/>
            </w:tcMar>
            <w:vAlign w:val="center"/>
          </w:tcPr>
          <w:p w14:paraId="7B8665E3" w14:textId="77777777" w:rsidR="00C364B8" w:rsidRPr="00C364B8" w:rsidRDefault="00C364B8" w:rsidP="00C364B8">
            <w:pPr>
              <w:spacing w:after="0"/>
              <w:jc w:val="both"/>
              <w:rPr>
                <w:sz w:val="18"/>
                <w:szCs w:val="18"/>
              </w:rPr>
            </w:pPr>
            <w:r w:rsidRPr="00C364B8">
              <w:rPr>
                <w:color w:val="000000"/>
                <w:sz w:val="18"/>
                <w:szCs w:val="18"/>
              </w:rPr>
              <w:t>Informacja:</w:t>
            </w:r>
          </w:p>
          <w:p w14:paraId="6DFFAF4C" w14:textId="06A81C0B" w:rsidR="00C364B8" w:rsidRPr="00C364B8" w:rsidRDefault="00C364B8" w:rsidP="00C364B8">
            <w:pPr>
              <w:spacing w:before="25" w:after="0"/>
              <w:jc w:val="both"/>
              <w:rPr>
                <w:sz w:val="18"/>
                <w:szCs w:val="18"/>
              </w:rPr>
            </w:pPr>
            <w:r w:rsidRPr="00C364B8">
              <w:rPr>
                <w:color w:val="000000"/>
                <w:sz w:val="18"/>
                <w:szCs w:val="18"/>
              </w:rPr>
              <w:t xml:space="preserve">Środki pieniężne zgromadzone w </w:t>
            </w:r>
            <w:r w:rsidR="00CA49CC" w:rsidRPr="00CA49CC">
              <w:rPr>
                <w:b/>
                <w:bCs/>
                <w:sz w:val="20"/>
                <w:szCs w:val="20"/>
                <w:highlight w:val="yellow"/>
              </w:rPr>
              <w:t>……………..</w:t>
            </w:r>
            <w:r w:rsidR="00CA49CC" w:rsidRPr="00752DA2">
              <w:rPr>
                <w:sz w:val="20"/>
                <w:szCs w:val="20"/>
              </w:rPr>
              <w:t>,</w:t>
            </w:r>
            <w:r>
              <w:rPr>
                <w:b/>
                <w:bCs/>
                <w:sz w:val="18"/>
                <w:szCs w:val="18"/>
              </w:rPr>
              <w:t xml:space="preserve">, </w:t>
            </w:r>
            <w:r>
              <w:rPr>
                <w:sz w:val="18"/>
                <w:szCs w:val="18"/>
              </w:rPr>
              <w:t>banku, który będzie</w:t>
            </w:r>
            <w:r w:rsidRPr="00C364B8">
              <w:rPr>
                <w:color w:val="000000"/>
                <w:sz w:val="18"/>
                <w:szCs w:val="18"/>
              </w:rPr>
              <w:t xml:space="preserve"> prowadz</w:t>
            </w:r>
            <w:r>
              <w:rPr>
                <w:color w:val="000000"/>
                <w:sz w:val="18"/>
                <w:szCs w:val="18"/>
              </w:rPr>
              <w:t>ił</w:t>
            </w:r>
            <w:r w:rsidRPr="00C364B8">
              <w:rPr>
                <w:color w:val="000000"/>
                <w:sz w:val="18"/>
                <w:szCs w:val="18"/>
              </w:rPr>
              <w:t xml:space="preserve"> otwarty mieszkaniowy rachunek powierniczy </w:t>
            </w:r>
            <w:r>
              <w:rPr>
                <w:color w:val="000000"/>
                <w:sz w:val="18"/>
                <w:szCs w:val="18"/>
              </w:rPr>
              <w:t>będą</w:t>
            </w:r>
            <w:r w:rsidRPr="00C364B8">
              <w:rPr>
                <w:color w:val="000000"/>
                <w:sz w:val="18"/>
                <w:szCs w:val="18"/>
              </w:rPr>
              <w:t xml:space="preserve"> objęte ochroną obowiązkowego systemu gwarantowania depozytów, na zasadach określonych w </w:t>
            </w:r>
            <w:r w:rsidRPr="00C364B8">
              <w:rPr>
                <w:color w:val="1B1B1B"/>
                <w:sz w:val="18"/>
                <w:szCs w:val="18"/>
              </w:rPr>
              <w:t>ustawie</w:t>
            </w:r>
            <w:r w:rsidRPr="00C364B8">
              <w:rPr>
                <w:color w:val="000000"/>
                <w:sz w:val="18"/>
                <w:szCs w:val="18"/>
              </w:rPr>
              <w:t xml:space="preserve"> z dnia 10 czerwca 2016 r. o Bankowym Funduszu Gwarancyjnym, systemie gwarantowania depozytów oraz przymusowej restrukturyzacji </w:t>
            </w:r>
            <w:r w:rsidRPr="00C364B8">
              <w:rPr>
                <w:sz w:val="18"/>
                <w:szCs w:val="18"/>
              </w:rPr>
              <w:t>(Dz. U. z 2022 r. poz. 2253 oraz z 2023 r. poz. 825, 1705, 1784 i 1843).</w:t>
            </w:r>
          </w:p>
          <w:p w14:paraId="04F4DDF0" w14:textId="77777777" w:rsidR="00C364B8" w:rsidRPr="00C364B8" w:rsidRDefault="00C364B8" w:rsidP="00C364B8">
            <w:pPr>
              <w:spacing w:before="25" w:after="0"/>
              <w:jc w:val="both"/>
              <w:rPr>
                <w:sz w:val="18"/>
                <w:szCs w:val="18"/>
              </w:rPr>
            </w:pPr>
            <w:r w:rsidRPr="00C364B8">
              <w:rPr>
                <w:color w:val="000000"/>
                <w:sz w:val="18"/>
                <w:szCs w:val="18"/>
              </w:rPr>
              <w:t>Informacje podstawowe o obowiązkowym systemie gwarantowania depozytów:</w:t>
            </w:r>
          </w:p>
          <w:p w14:paraId="40F3063F" w14:textId="4D37CD7B" w:rsidR="00C364B8" w:rsidRPr="00C364B8" w:rsidRDefault="00C364B8" w:rsidP="00C364B8">
            <w:pPr>
              <w:spacing w:before="25" w:after="0"/>
              <w:jc w:val="both"/>
              <w:rPr>
                <w:sz w:val="18"/>
                <w:szCs w:val="18"/>
              </w:rPr>
            </w:pPr>
            <w:r w:rsidRPr="00C364B8">
              <w:rPr>
                <w:color w:val="000000"/>
                <w:sz w:val="18"/>
                <w:szCs w:val="18"/>
              </w:rPr>
              <w:t xml:space="preserve">- ochrona środków dotyczy sytuacji spełnienia warunku gwarancji wobec </w:t>
            </w:r>
            <w:r w:rsidR="00CA49CC" w:rsidRPr="00CA49CC">
              <w:rPr>
                <w:b/>
                <w:bCs/>
                <w:sz w:val="20"/>
                <w:szCs w:val="20"/>
                <w:highlight w:val="yellow"/>
              </w:rPr>
              <w:t>……………..</w:t>
            </w:r>
            <w:r w:rsidR="00CA49CC" w:rsidRPr="00752DA2">
              <w:rPr>
                <w:sz w:val="20"/>
                <w:szCs w:val="20"/>
              </w:rPr>
              <w:t>,</w:t>
            </w:r>
            <w:r w:rsidRPr="00C364B8">
              <w:rPr>
                <w:b/>
                <w:bCs/>
                <w:sz w:val="18"/>
                <w:szCs w:val="18"/>
              </w:rPr>
              <w:t>,</w:t>
            </w:r>
          </w:p>
          <w:p w14:paraId="4643725B" w14:textId="77777777" w:rsidR="00C364B8" w:rsidRPr="00C364B8" w:rsidRDefault="00C364B8" w:rsidP="00C364B8">
            <w:pPr>
              <w:spacing w:before="25" w:after="0"/>
              <w:jc w:val="both"/>
              <w:rPr>
                <w:sz w:val="18"/>
                <w:szCs w:val="18"/>
              </w:rPr>
            </w:pPr>
            <w:r w:rsidRPr="00C364B8">
              <w:rPr>
                <w:color w:val="000000"/>
                <w:sz w:val="18"/>
                <w:szCs w:val="18"/>
              </w:rPr>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2486F43D" w14:textId="77777777" w:rsidR="00C364B8" w:rsidRPr="00C364B8" w:rsidRDefault="00C364B8" w:rsidP="00C364B8">
            <w:pPr>
              <w:spacing w:before="25" w:after="0"/>
              <w:jc w:val="both"/>
              <w:rPr>
                <w:sz w:val="18"/>
                <w:szCs w:val="18"/>
              </w:rPr>
            </w:pPr>
            <w:r w:rsidRPr="00C364B8">
              <w:rPr>
                <w:color w:val="000000"/>
                <w:sz w:val="18"/>
                <w:szCs w:val="18"/>
              </w:rPr>
              <w:t xml:space="preserve">- limit gwarancyjny przypadający na jednego deponenta to równowartość w złotych 100 000 euro; w przypadkach określonych w </w:t>
            </w:r>
            <w:r w:rsidRPr="00C364B8">
              <w:rPr>
                <w:color w:val="1B1B1B"/>
                <w:sz w:val="18"/>
                <w:szCs w:val="18"/>
              </w:rPr>
              <w:t>art. 24 ust. 3</w:t>
            </w:r>
            <w:r w:rsidRPr="00C364B8">
              <w:rPr>
                <w:color w:val="000000"/>
                <w:sz w:val="18"/>
                <w:szCs w:val="18"/>
              </w:rPr>
              <w:t xml:space="preserve"> i </w:t>
            </w:r>
            <w:r w:rsidRPr="00C364B8">
              <w:rPr>
                <w:color w:val="1B1B1B"/>
                <w:sz w:val="18"/>
                <w:szCs w:val="18"/>
              </w:rPr>
              <w:t>4</w:t>
            </w:r>
            <w:r w:rsidRPr="00C364B8">
              <w:rPr>
                <w:color w:val="000000"/>
                <w:sz w:val="18"/>
                <w:szCs w:val="18"/>
              </w:rPr>
              <w:t xml:space="preserve"> ustawy z dnia 10 czerwca 2016 r. o Bankowym Funduszu Gwarancyjnym, systemie gwarantowania depozytów oraz przymusowej restrukturyzacji, środki deponenta, w terminie 3 miesięcy od dnia ich wpływu na rachunek, są objęte gwarancjami ponad równowartość w złotych 100 000 euro,</w:t>
            </w:r>
          </w:p>
          <w:p w14:paraId="68548034" w14:textId="77777777" w:rsidR="00C364B8" w:rsidRPr="00C364B8" w:rsidRDefault="00C364B8" w:rsidP="00C364B8">
            <w:pPr>
              <w:spacing w:before="25" w:after="0"/>
              <w:jc w:val="both"/>
              <w:rPr>
                <w:sz w:val="18"/>
                <w:szCs w:val="18"/>
              </w:rPr>
            </w:pPr>
            <w:r w:rsidRPr="00C364B8">
              <w:rPr>
                <w:color w:val="000000"/>
                <w:sz w:val="18"/>
                <w:szCs w:val="18"/>
              </w:rPr>
              <w:t>-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0CC74600" w14:textId="77777777" w:rsidR="00C364B8" w:rsidRPr="00C364B8" w:rsidRDefault="00C364B8" w:rsidP="00C364B8">
            <w:pPr>
              <w:spacing w:before="25" w:after="0"/>
              <w:jc w:val="both"/>
              <w:rPr>
                <w:sz w:val="18"/>
                <w:szCs w:val="18"/>
              </w:rPr>
            </w:pPr>
            <w:r w:rsidRPr="00C364B8">
              <w:rPr>
                <w:color w:val="000000"/>
                <w:sz w:val="18"/>
                <w:szCs w:val="18"/>
              </w:rPr>
              <w:t>- wypłata środków gwarantowanych - co do zasady - następuje w terminie 7 dni roboczych od dnia spełnienia warunku gwarancji wobec banku,</w:t>
            </w:r>
          </w:p>
          <w:p w14:paraId="53D5322F" w14:textId="77777777" w:rsidR="00C364B8" w:rsidRPr="00C364B8" w:rsidRDefault="00C364B8" w:rsidP="00C364B8">
            <w:pPr>
              <w:spacing w:before="25" w:after="0"/>
              <w:jc w:val="both"/>
              <w:rPr>
                <w:sz w:val="18"/>
                <w:szCs w:val="18"/>
              </w:rPr>
            </w:pPr>
            <w:r w:rsidRPr="00C364B8">
              <w:rPr>
                <w:color w:val="000000"/>
                <w:sz w:val="18"/>
                <w:szCs w:val="18"/>
              </w:rPr>
              <w:t>- wypłata środków gwarantowanych jest dokonywana w złotych,</w:t>
            </w:r>
          </w:p>
          <w:p w14:paraId="06DEA327" w14:textId="688F7A7A" w:rsidR="00C364B8" w:rsidRPr="00C364B8" w:rsidRDefault="00C364B8" w:rsidP="00C364B8">
            <w:pPr>
              <w:spacing w:before="25" w:after="0"/>
              <w:jc w:val="both"/>
              <w:rPr>
                <w:b/>
                <w:bCs/>
                <w:sz w:val="18"/>
                <w:szCs w:val="18"/>
              </w:rPr>
            </w:pPr>
            <w:r w:rsidRPr="00C364B8">
              <w:rPr>
                <w:color w:val="000000"/>
                <w:sz w:val="18"/>
                <w:szCs w:val="18"/>
              </w:rPr>
              <w:t xml:space="preserve">- </w:t>
            </w:r>
            <w:r w:rsidR="00CA49CC" w:rsidRPr="00CA49CC">
              <w:rPr>
                <w:b/>
                <w:bCs/>
                <w:sz w:val="20"/>
                <w:szCs w:val="20"/>
                <w:highlight w:val="yellow"/>
              </w:rPr>
              <w:t>……………..</w:t>
            </w:r>
            <w:r w:rsidR="00CA49CC" w:rsidRPr="00752DA2">
              <w:rPr>
                <w:sz w:val="20"/>
                <w:szCs w:val="20"/>
              </w:rPr>
              <w:t>,</w:t>
            </w:r>
            <w:r w:rsidRPr="00C364B8">
              <w:rPr>
                <w:color w:val="000000"/>
                <w:sz w:val="18"/>
                <w:szCs w:val="18"/>
              </w:rPr>
              <w:t xml:space="preserve">korzysta także z następującego znaku towarowego - </w:t>
            </w:r>
            <w:r w:rsidR="00CA49CC" w:rsidRPr="00CA49CC">
              <w:rPr>
                <w:b/>
                <w:bCs/>
                <w:sz w:val="20"/>
                <w:szCs w:val="20"/>
                <w:highlight w:val="yellow"/>
              </w:rPr>
              <w:t>……………..</w:t>
            </w:r>
            <w:r w:rsidR="00CA49CC" w:rsidRPr="00752DA2">
              <w:rPr>
                <w:sz w:val="20"/>
                <w:szCs w:val="20"/>
              </w:rPr>
              <w:t>,</w:t>
            </w:r>
            <w:r w:rsidRPr="00C364B8">
              <w:rPr>
                <w:color w:val="000000"/>
                <w:sz w:val="18"/>
                <w:szCs w:val="18"/>
              </w:rPr>
              <w:t>.</w:t>
            </w:r>
          </w:p>
        </w:tc>
      </w:tr>
    </w:tbl>
    <w:p w14:paraId="13D0ECC9" w14:textId="77777777" w:rsidR="004151A2" w:rsidRPr="0018326A" w:rsidRDefault="00000000">
      <w:pPr>
        <w:spacing w:before="25" w:after="0"/>
        <w:jc w:val="both"/>
        <w:rPr>
          <w:sz w:val="18"/>
          <w:szCs w:val="18"/>
        </w:rPr>
      </w:pPr>
      <w:r w:rsidRPr="0018326A">
        <w:rPr>
          <w:color w:val="000000"/>
          <w:sz w:val="18"/>
          <w:szCs w:val="18"/>
          <w:vertAlign w:val="superscript"/>
        </w:rPr>
        <w:t>1)</w:t>
      </w:r>
      <w:r w:rsidRPr="0018326A">
        <w:rPr>
          <w:color w:val="000000"/>
          <w:sz w:val="18"/>
          <w:szCs w:val="18"/>
        </w:rPr>
        <w:t xml:space="preserve"> Jeżeli działka nie posiada adresu, należy opisowo określić jej położenie.</w:t>
      </w:r>
    </w:p>
    <w:p w14:paraId="51189C6E" w14:textId="77777777" w:rsidR="004151A2" w:rsidRPr="0018326A" w:rsidRDefault="00000000">
      <w:pPr>
        <w:spacing w:before="25" w:after="0"/>
        <w:jc w:val="both"/>
        <w:rPr>
          <w:sz w:val="18"/>
          <w:szCs w:val="18"/>
        </w:rPr>
      </w:pPr>
      <w:r w:rsidRPr="0018326A">
        <w:rPr>
          <w:color w:val="000000"/>
          <w:sz w:val="18"/>
          <w:szCs w:val="18"/>
          <w:vertAlign w:val="superscript"/>
        </w:rPr>
        <w:lastRenderedPageBreak/>
        <w:t>2)</w:t>
      </w:r>
      <w:r w:rsidRPr="0018326A">
        <w:rPr>
          <w:color w:val="000000"/>
          <w:sz w:val="18"/>
          <w:szCs w:val="18"/>
        </w:rPr>
        <w:t xml:space="preserve"> W szczególności imię i nazwisko albo firma właściciela lub użytkownika wieczystego oraz istniejące obciążenia na nieruchomości.</w:t>
      </w:r>
    </w:p>
    <w:p w14:paraId="383617C1" w14:textId="77777777" w:rsidR="004151A2" w:rsidRPr="0018326A" w:rsidRDefault="00000000">
      <w:pPr>
        <w:spacing w:before="25" w:after="0"/>
        <w:jc w:val="both"/>
        <w:rPr>
          <w:sz w:val="18"/>
          <w:szCs w:val="18"/>
        </w:rPr>
      </w:pPr>
      <w:r w:rsidRPr="0018326A">
        <w:rPr>
          <w:color w:val="000000"/>
          <w:sz w:val="18"/>
          <w:szCs w:val="18"/>
          <w:vertAlign w:val="superscript"/>
        </w:rPr>
        <w:t>3)</w:t>
      </w:r>
      <w:r w:rsidRPr="0018326A">
        <w:rPr>
          <w:color w:val="000000"/>
          <w:sz w:val="18"/>
          <w:szCs w:val="18"/>
        </w:rPr>
        <w:t xml:space="preserve"> W szczególności obiekty generujące uciążliwości zapachowe, hałasowe, świetlne.</w:t>
      </w:r>
    </w:p>
    <w:p w14:paraId="0E3A2141" w14:textId="77777777" w:rsidR="004151A2" w:rsidRPr="0018326A" w:rsidRDefault="00000000">
      <w:pPr>
        <w:spacing w:before="25" w:after="0"/>
        <w:jc w:val="both"/>
        <w:rPr>
          <w:sz w:val="18"/>
          <w:szCs w:val="18"/>
        </w:rPr>
      </w:pPr>
      <w:r w:rsidRPr="0018326A">
        <w:rPr>
          <w:color w:val="000000"/>
          <w:sz w:val="18"/>
          <w:szCs w:val="18"/>
          <w:vertAlign w:val="superscript"/>
        </w:rPr>
        <w:t>4)</w:t>
      </w:r>
      <w:r w:rsidRPr="0018326A">
        <w:rPr>
          <w:color w:val="000000"/>
          <w:sz w:val="18"/>
          <w:szCs w:val="18"/>
        </w:rPr>
        <w:t xml:space="preserve"> Akty prawne (rozporządzenia, zarządzenia, uchwały) w sprawach</w:t>
      </w:r>
      <w:r w:rsidRPr="0018326A">
        <w:rPr>
          <w:b/>
          <w:color w:val="000000"/>
          <w:sz w:val="18"/>
          <w:szCs w:val="18"/>
        </w:rPr>
        <w:t>:</w:t>
      </w:r>
    </w:p>
    <w:p w14:paraId="671A81CB" w14:textId="77777777" w:rsidR="004151A2" w:rsidRPr="0018326A" w:rsidRDefault="00000000">
      <w:pPr>
        <w:spacing w:before="25" w:after="0"/>
        <w:jc w:val="both"/>
        <w:rPr>
          <w:sz w:val="18"/>
          <w:szCs w:val="18"/>
        </w:rPr>
      </w:pPr>
      <w:r w:rsidRPr="0018326A">
        <w:rPr>
          <w:color w:val="000000"/>
          <w:sz w:val="18"/>
          <w:szCs w:val="18"/>
        </w:rPr>
        <w:t>1) dotyczących Inwestycji, Inwestycji Towarzyszących oraz obszaru otoczenia CPK,</w:t>
      </w:r>
    </w:p>
    <w:p w14:paraId="7EF23803" w14:textId="77777777" w:rsidR="004151A2" w:rsidRPr="0018326A" w:rsidRDefault="00000000">
      <w:pPr>
        <w:spacing w:before="25" w:after="0"/>
        <w:jc w:val="both"/>
        <w:rPr>
          <w:sz w:val="18"/>
          <w:szCs w:val="18"/>
        </w:rPr>
      </w:pPr>
      <w:r w:rsidRPr="0018326A">
        <w:rPr>
          <w:color w:val="000000"/>
          <w:sz w:val="18"/>
          <w:szCs w:val="18"/>
        </w:rPr>
        <w:t>2) lokalizacji inwestycji mieszkaniowej lub inwestycji towarzyszącej,</w:t>
      </w:r>
    </w:p>
    <w:p w14:paraId="2D5BC12E" w14:textId="77777777" w:rsidR="004151A2" w:rsidRPr="0018326A" w:rsidRDefault="00000000">
      <w:pPr>
        <w:spacing w:before="25" w:after="0"/>
        <w:jc w:val="both"/>
        <w:rPr>
          <w:sz w:val="18"/>
          <w:szCs w:val="18"/>
        </w:rPr>
      </w:pPr>
      <w:r w:rsidRPr="0018326A">
        <w:rPr>
          <w:color w:val="000000"/>
          <w:sz w:val="18"/>
          <w:szCs w:val="18"/>
        </w:rPr>
        <w:t>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340EBF61" w14:textId="77777777" w:rsidR="004151A2" w:rsidRPr="0018326A" w:rsidRDefault="00000000">
      <w:pPr>
        <w:spacing w:before="25" w:after="0"/>
        <w:jc w:val="both"/>
        <w:rPr>
          <w:sz w:val="18"/>
          <w:szCs w:val="18"/>
        </w:rPr>
      </w:pPr>
      <w:r w:rsidRPr="0018326A">
        <w:rPr>
          <w:color w:val="000000"/>
          <w:sz w:val="18"/>
          <w:szCs w:val="18"/>
        </w:rPr>
        <w:t>4) ustanowienia strefy ochronnej terenu ochrony bezpośredniej i terenu ochrony pośredniej ujęcia wody,</w:t>
      </w:r>
    </w:p>
    <w:p w14:paraId="34D0B286" w14:textId="77777777" w:rsidR="004151A2" w:rsidRPr="0018326A" w:rsidRDefault="00000000">
      <w:pPr>
        <w:spacing w:before="25" w:after="0"/>
        <w:jc w:val="both"/>
        <w:rPr>
          <w:sz w:val="18"/>
          <w:szCs w:val="18"/>
        </w:rPr>
      </w:pPr>
      <w:r w:rsidRPr="0018326A">
        <w:rPr>
          <w:color w:val="000000"/>
          <w:sz w:val="18"/>
          <w:szCs w:val="18"/>
        </w:rPr>
        <w:t>5) wyznaczenia obszarów cichych w aglomeracji lub obszarów cichych poza aglomeracją,</w:t>
      </w:r>
    </w:p>
    <w:p w14:paraId="455D80B1" w14:textId="77777777" w:rsidR="004151A2" w:rsidRPr="0018326A" w:rsidRDefault="00000000">
      <w:pPr>
        <w:spacing w:before="25" w:after="0"/>
        <w:jc w:val="both"/>
        <w:rPr>
          <w:sz w:val="18"/>
          <w:szCs w:val="18"/>
        </w:rPr>
      </w:pPr>
      <w:r w:rsidRPr="0018326A">
        <w:rPr>
          <w:color w:val="000000"/>
          <w:sz w:val="18"/>
          <w:szCs w:val="18"/>
        </w:rPr>
        <w:t>6) utworzenia obszaru ograniczonego użytkowania,</w:t>
      </w:r>
    </w:p>
    <w:p w14:paraId="2F1EE11D" w14:textId="77777777" w:rsidR="004151A2" w:rsidRPr="0018326A" w:rsidRDefault="00000000">
      <w:pPr>
        <w:spacing w:before="25" w:after="0"/>
        <w:jc w:val="both"/>
        <w:rPr>
          <w:sz w:val="18"/>
          <w:szCs w:val="18"/>
        </w:rPr>
      </w:pPr>
      <w:r w:rsidRPr="0018326A">
        <w:rPr>
          <w:color w:val="000000"/>
          <w:sz w:val="18"/>
          <w:szCs w:val="18"/>
        </w:rPr>
        <w:t>7) uznania zabytku za pomnik historii,</w:t>
      </w:r>
    </w:p>
    <w:p w14:paraId="4EAEF511" w14:textId="77777777" w:rsidR="004151A2" w:rsidRPr="0018326A" w:rsidRDefault="00000000">
      <w:pPr>
        <w:spacing w:before="25" w:after="0"/>
        <w:jc w:val="both"/>
        <w:rPr>
          <w:sz w:val="18"/>
          <w:szCs w:val="18"/>
        </w:rPr>
      </w:pPr>
      <w:r w:rsidRPr="0018326A">
        <w:rPr>
          <w:color w:val="000000"/>
          <w:sz w:val="18"/>
          <w:szCs w:val="18"/>
        </w:rPr>
        <w:t>8) określenia granic obszaru Pomnika Zagłady i jego strefy ochronnej, utworzenia parku kulturowego,</w:t>
      </w:r>
    </w:p>
    <w:p w14:paraId="28FC7DB8" w14:textId="77777777" w:rsidR="004151A2" w:rsidRPr="0018326A" w:rsidRDefault="00000000">
      <w:pPr>
        <w:spacing w:before="25" w:after="0"/>
        <w:jc w:val="both"/>
        <w:rPr>
          <w:sz w:val="18"/>
          <w:szCs w:val="18"/>
        </w:rPr>
      </w:pPr>
      <w:r w:rsidRPr="0018326A">
        <w:rPr>
          <w:color w:val="000000"/>
          <w:sz w:val="18"/>
          <w:szCs w:val="18"/>
        </w:rPr>
        <w:t>9) ustalenia zasad i warunków sytuowania obiektów małej architektury, tablic reklamowych i urządzeń reklamowych oraz ogrodzeń, ich gabarytów, standardów jakościowych oraz rodzajów materiałów budowlanych.</w:t>
      </w:r>
    </w:p>
    <w:p w14:paraId="21FD2FA0" w14:textId="77777777" w:rsidR="00461D9E" w:rsidRDefault="00461D9E">
      <w:pPr>
        <w:spacing w:before="25" w:after="0"/>
        <w:jc w:val="both"/>
        <w:rPr>
          <w:b/>
          <w:color w:val="000000"/>
          <w:sz w:val="18"/>
          <w:szCs w:val="18"/>
        </w:rPr>
      </w:pPr>
    </w:p>
    <w:p w14:paraId="646F745B" w14:textId="297C5608" w:rsidR="004151A2" w:rsidRPr="0018326A" w:rsidRDefault="00000000">
      <w:pPr>
        <w:spacing w:before="25" w:after="0"/>
        <w:jc w:val="both"/>
        <w:rPr>
          <w:sz w:val="18"/>
          <w:szCs w:val="18"/>
        </w:rPr>
      </w:pPr>
      <w:r w:rsidRPr="0018326A">
        <w:rPr>
          <w:b/>
          <w:color w:val="000000"/>
          <w:sz w:val="18"/>
          <w:szCs w:val="18"/>
        </w:rPr>
        <w:t>CZĘŚĆ INDYWIDUALNA</w:t>
      </w:r>
    </w:p>
    <w:tbl>
      <w:tblPr>
        <w:tblW w:w="10632" w:type="dxa"/>
        <w:tblCellSpacing w:w="0" w:type="auto"/>
        <w:tblInd w:w="-71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03"/>
        <w:gridCol w:w="1578"/>
        <w:gridCol w:w="1714"/>
        <w:gridCol w:w="2823"/>
        <w:gridCol w:w="1314"/>
      </w:tblGrid>
      <w:tr w:rsidR="00414186" w:rsidRPr="0018326A" w14:paraId="4E0AEAAE"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22CFC670" w14:textId="77777777" w:rsidR="004151A2" w:rsidRPr="0018326A" w:rsidRDefault="00000000">
            <w:pPr>
              <w:spacing w:after="0"/>
              <w:rPr>
                <w:sz w:val="18"/>
                <w:szCs w:val="18"/>
              </w:rPr>
            </w:pPr>
            <w:r w:rsidRPr="0018326A">
              <w:rPr>
                <w:color w:val="000000"/>
                <w:sz w:val="18"/>
                <w:szCs w:val="18"/>
              </w:rPr>
              <w:t>Cena lokalu mieszkalnego albo domu jednorodzinnego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17FC8870" w14:textId="63624BE6" w:rsidR="004151A2" w:rsidRPr="0018326A" w:rsidRDefault="00414186">
            <w:pPr>
              <w:rPr>
                <w:sz w:val="18"/>
                <w:szCs w:val="18"/>
              </w:rPr>
            </w:pPr>
            <w:r w:rsidRPr="0018326A">
              <w:rPr>
                <w:sz w:val="18"/>
                <w:szCs w:val="18"/>
              </w:rPr>
              <w:t xml:space="preserve"> </w:t>
            </w:r>
            <w:r w:rsidRPr="0018326A">
              <w:rPr>
                <w:sz w:val="18"/>
                <w:szCs w:val="18"/>
                <w:highlight w:val="yellow"/>
              </w:rPr>
              <w:t>…………</w:t>
            </w:r>
            <w:r w:rsidRPr="0018326A">
              <w:rPr>
                <w:sz w:val="18"/>
                <w:szCs w:val="18"/>
              </w:rPr>
              <w:t xml:space="preserve"> zł brutto</w:t>
            </w:r>
          </w:p>
        </w:tc>
      </w:tr>
      <w:tr w:rsidR="00414186" w:rsidRPr="0018326A" w14:paraId="0431C211"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13DA05AE" w14:textId="77777777" w:rsidR="004151A2" w:rsidRPr="0018326A" w:rsidRDefault="00000000">
            <w:pPr>
              <w:spacing w:after="0"/>
              <w:rPr>
                <w:sz w:val="18"/>
                <w:szCs w:val="18"/>
              </w:rPr>
            </w:pPr>
            <w:r w:rsidRPr="0018326A">
              <w:rPr>
                <w:color w:val="000000"/>
                <w:sz w:val="18"/>
                <w:szCs w:val="18"/>
              </w:rPr>
              <w:t>Powierzchnia użytkowa lokalu mieszkalnego albo domu jednorodzinnego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2E18B057" w14:textId="33DFCBAB" w:rsidR="004151A2" w:rsidRPr="0018326A" w:rsidRDefault="00414186">
            <w:pPr>
              <w:rPr>
                <w:sz w:val="18"/>
                <w:szCs w:val="18"/>
              </w:rPr>
            </w:pPr>
            <w:r w:rsidRPr="0018326A">
              <w:rPr>
                <w:sz w:val="18"/>
                <w:szCs w:val="18"/>
              </w:rPr>
              <w:t xml:space="preserve">  </w:t>
            </w:r>
            <w:r w:rsidRPr="0018326A">
              <w:rPr>
                <w:sz w:val="18"/>
                <w:szCs w:val="18"/>
                <w:highlight w:val="yellow"/>
              </w:rPr>
              <w:t>…………</w:t>
            </w:r>
            <w:r w:rsidRPr="0018326A">
              <w:rPr>
                <w:sz w:val="18"/>
                <w:szCs w:val="18"/>
              </w:rPr>
              <w:t xml:space="preserve">   m2</w:t>
            </w:r>
          </w:p>
        </w:tc>
      </w:tr>
      <w:tr w:rsidR="00414186" w:rsidRPr="0018326A" w14:paraId="7A24BDC8"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03EEAC18" w14:textId="77777777" w:rsidR="004151A2" w:rsidRPr="0018326A" w:rsidRDefault="00000000">
            <w:pPr>
              <w:spacing w:after="0"/>
              <w:rPr>
                <w:sz w:val="18"/>
                <w:szCs w:val="18"/>
              </w:rPr>
            </w:pPr>
            <w:r w:rsidRPr="0018326A">
              <w:rPr>
                <w:color w:val="000000"/>
                <w:sz w:val="18"/>
                <w:szCs w:val="18"/>
              </w:rPr>
              <w:t>Cena m</w:t>
            </w:r>
            <w:r w:rsidRPr="0018326A">
              <w:rPr>
                <w:color w:val="000000"/>
                <w:sz w:val="18"/>
                <w:szCs w:val="18"/>
                <w:vertAlign w:val="superscript"/>
              </w:rPr>
              <w:t>2</w:t>
            </w:r>
            <w:r w:rsidRPr="0018326A">
              <w:rPr>
                <w:color w:val="000000"/>
                <w:sz w:val="18"/>
                <w:szCs w:val="18"/>
              </w:rPr>
              <w:t xml:space="preserve"> powierzchni użytkowej lokalu mieszkalnego albo domu jednorodzinnego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764CC4BF" w14:textId="07A0FD74" w:rsidR="004151A2" w:rsidRPr="0018326A" w:rsidRDefault="00414186">
            <w:pPr>
              <w:rPr>
                <w:sz w:val="18"/>
                <w:szCs w:val="18"/>
              </w:rPr>
            </w:pPr>
            <w:r w:rsidRPr="0018326A">
              <w:rPr>
                <w:sz w:val="18"/>
                <w:szCs w:val="18"/>
              </w:rPr>
              <w:t xml:space="preserve"> </w:t>
            </w:r>
            <w:r w:rsidRPr="0018326A">
              <w:rPr>
                <w:sz w:val="18"/>
                <w:szCs w:val="18"/>
                <w:highlight w:val="yellow"/>
              </w:rPr>
              <w:t>………………</w:t>
            </w:r>
            <w:r w:rsidRPr="0018326A">
              <w:rPr>
                <w:sz w:val="18"/>
                <w:szCs w:val="18"/>
              </w:rPr>
              <w:t xml:space="preserve"> zł/m2 brutto</w:t>
            </w:r>
          </w:p>
        </w:tc>
      </w:tr>
      <w:tr w:rsidR="00414186" w:rsidRPr="0018326A" w14:paraId="37EC0A7E"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6E919F29" w14:textId="77777777" w:rsidR="004151A2" w:rsidRPr="0018326A" w:rsidRDefault="00000000">
            <w:pPr>
              <w:spacing w:after="0"/>
              <w:rPr>
                <w:sz w:val="18"/>
                <w:szCs w:val="18"/>
              </w:rPr>
            </w:pPr>
            <w:r w:rsidRPr="0018326A">
              <w:rPr>
                <w:color w:val="000000"/>
                <w:sz w:val="18"/>
                <w:szCs w:val="18"/>
              </w:rPr>
              <w:t>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6393CB53" w14:textId="022BD87A" w:rsidR="004151A2" w:rsidRPr="00C364B8" w:rsidRDefault="00CE41A8">
            <w:pPr>
              <w:rPr>
                <w:b/>
                <w:bCs/>
                <w:sz w:val="18"/>
                <w:szCs w:val="18"/>
              </w:rPr>
            </w:pPr>
            <w:r>
              <w:rPr>
                <w:b/>
                <w:bCs/>
                <w:sz w:val="20"/>
                <w:szCs w:val="20"/>
              </w:rPr>
              <w:t>31.12.2028 r.</w:t>
            </w:r>
          </w:p>
        </w:tc>
      </w:tr>
      <w:tr w:rsidR="00414186" w:rsidRPr="0018326A" w14:paraId="32F98B51" w14:textId="77777777" w:rsidTr="0018326A">
        <w:trPr>
          <w:trHeight w:val="45"/>
          <w:tblCellSpacing w:w="0" w:type="auto"/>
        </w:trPr>
        <w:tc>
          <w:tcPr>
            <w:tcW w:w="3203" w:type="dxa"/>
            <w:vMerge w:val="restart"/>
            <w:tcBorders>
              <w:bottom w:val="single" w:sz="8" w:space="0" w:color="000000"/>
              <w:right w:val="single" w:sz="8" w:space="0" w:color="000000"/>
            </w:tcBorders>
            <w:tcMar>
              <w:top w:w="15" w:type="dxa"/>
              <w:left w:w="15" w:type="dxa"/>
              <w:bottom w:w="15" w:type="dxa"/>
              <w:right w:w="15" w:type="dxa"/>
            </w:tcMar>
            <w:vAlign w:val="center"/>
          </w:tcPr>
          <w:p w14:paraId="755B475B" w14:textId="77777777" w:rsidR="004151A2" w:rsidRPr="0018326A" w:rsidRDefault="00000000">
            <w:pPr>
              <w:spacing w:after="0"/>
              <w:rPr>
                <w:sz w:val="18"/>
                <w:szCs w:val="18"/>
              </w:rPr>
            </w:pPr>
            <w:r w:rsidRPr="0018326A">
              <w:rPr>
                <w:color w:val="000000"/>
                <w:sz w:val="18"/>
                <w:szCs w:val="18"/>
              </w:rPr>
              <w:t>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w:t>
            </w: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49CD681E" w14:textId="77777777" w:rsidR="004151A2" w:rsidRPr="0018326A" w:rsidRDefault="00000000">
            <w:pPr>
              <w:spacing w:after="0"/>
              <w:rPr>
                <w:sz w:val="18"/>
                <w:szCs w:val="18"/>
              </w:rPr>
            </w:pPr>
            <w:r w:rsidRPr="0018326A">
              <w:rPr>
                <w:color w:val="000000"/>
                <w:sz w:val="18"/>
                <w:szCs w:val="18"/>
              </w:rPr>
              <w:t>Liczba kondygnacji</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68B1FAF7" w14:textId="46FFED45" w:rsidR="0074393B" w:rsidRDefault="00461D9E">
            <w:pPr>
              <w:rPr>
                <w:sz w:val="18"/>
                <w:szCs w:val="18"/>
              </w:rPr>
            </w:pPr>
            <w:r>
              <w:rPr>
                <w:sz w:val="18"/>
                <w:szCs w:val="18"/>
              </w:rPr>
              <w:t>4 kondygnacje nadziemne</w:t>
            </w:r>
          </w:p>
          <w:p w14:paraId="68201CB0" w14:textId="657B53E9" w:rsidR="00461D9E" w:rsidRPr="0018326A" w:rsidRDefault="00461D9E">
            <w:pPr>
              <w:rPr>
                <w:sz w:val="18"/>
                <w:szCs w:val="18"/>
              </w:rPr>
            </w:pPr>
            <w:r>
              <w:rPr>
                <w:sz w:val="18"/>
                <w:szCs w:val="18"/>
              </w:rPr>
              <w:t>1 kondygnacja podziemna</w:t>
            </w:r>
          </w:p>
        </w:tc>
      </w:tr>
      <w:tr w:rsidR="00414186" w:rsidRPr="0018326A" w14:paraId="5308F307" w14:textId="77777777" w:rsidTr="0018326A">
        <w:trPr>
          <w:trHeight w:val="45"/>
          <w:tblCellSpacing w:w="0" w:type="auto"/>
        </w:trPr>
        <w:tc>
          <w:tcPr>
            <w:tcW w:w="3203" w:type="dxa"/>
            <w:vMerge/>
            <w:tcBorders>
              <w:top w:val="nil"/>
              <w:bottom w:val="single" w:sz="8" w:space="0" w:color="000000"/>
              <w:right w:val="single" w:sz="8" w:space="0" w:color="000000"/>
            </w:tcBorders>
          </w:tcPr>
          <w:p w14:paraId="2A62742D"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1E0F9C58" w14:textId="77777777" w:rsidR="004151A2" w:rsidRPr="0018326A" w:rsidRDefault="00000000">
            <w:pPr>
              <w:spacing w:after="0"/>
              <w:rPr>
                <w:sz w:val="18"/>
                <w:szCs w:val="18"/>
              </w:rPr>
            </w:pPr>
            <w:r w:rsidRPr="0018326A">
              <w:rPr>
                <w:color w:val="000000"/>
                <w:sz w:val="18"/>
                <w:szCs w:val="18"/>
              </w:rPr>
              <w:t>Technologia wykonania</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57EDA612" w14:textId="3F6B6DC7" w:rsidR="004151A2" w:rsidRPr="0018326A" w:rsidRDefault="00414186">
            <w:pPr>
              <w:rPr>
                <w:sz w:val="18"/>
                <w:szCs w:val="18"/>
              </w:rPr>
            </w:pPr>
            <w:r w:rsidRPr="0018326A">
              <w:rPr>
                <w:rFonts w:cs="Calibri"/>
                <w:sz w:val="18"/>
                <w:szCs w:val="18"/>
              </w:rPr>
              <w:t xml:space="preserve">Zgodnie z załącznikiem nr </w:t>
            </w:r>
            <w:r w:rsidR="008F6F2F" w:rsidRPr="0018326A">
              <w:rPr>
                <w:rFonts w:cs="Calibri"/>
                <w:sz w:val="18"/>
                <w:szCs w:val="18"/>
              </w:rPr>
              <w:t>4</w:t>
            </w:r>
            <w:r w:rsidRPr="0018326A">
              <w:rPr>
                <w:rFonts w:cs="Calibri"/>
                <w:sz w:val="18"/>
                <w:szCs w:val="18"/>
              </w:rPr>
              <w:t xml:space="preserve"> do Prospektu Informacyjnego - ,,Standard wykończenia”</w:t>
            </w:r>
          </w:p>
        </w:tc>
      </w:tr>
      <w:tr w:rsidR="00414186" w:rsidRPr="0018326A" w14:paraId="13C0674B" w14:textId="77777777" w:rsidTr="0018326A">
        <w:trPr>
          <w:trHeight w:val="45"/>
          <w:tblCellSpacing w:w="0" w:type="auto"/>
        </w:trPr>
        <w:tc>
          <w:tcPr>
            <w:tcW w:w="3203" w:type="dxa"/>
            <w:vMerge/>
            <w:tcBorders>
              <w:top w:val="nil"/>
              <w:bottom w:val="single" w:sz="8" w:space="0" w:color="000000"/>
              <w:right w:val="single" w:sz="8" w:space="0" w:color="000000"/>
            </w:tcBorders>
          </w:tcPr>
          <w:p w14:paraId="1960425D"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1CDEB611" w14:textId="77777777" w:rsidR="004151A2" w:rsidRPr="0018326A" w:rsidRDefault="00000000">
            <w:pPr>
              <w:spacing w:after="0"/>
              <w:rPr>
                <w:sz w:val="18"/>
                <w:szCs w:val="18"/>
              </w:rPr>
            </w:pPr>
            <w:r w:rsidRPr="0018326A">
              <w:rPr>
                <w:color w:val="000000"/>
                <w:sz w:val="18"/>
                <w:szCs w:val="18"/>
              </w:rPr>
              <w:t>Standard prac wykończeniowych w części wspólnej budynku i terenie wokół niego, stanowiącym część wspólną nieruchomości</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26FB5A35" w14:textId="3D258F71" w:rsidR="004151A2" w:rsidRPr="0018326A" w:rsidRDefault="00414186">
            <w:pPr>
              <w:rPr>
                <w:sz w:val="18"/>
                <w:szCs w:val="18"/>
              </w:rPr>
            </w:pPr>
            <w:r w:rsidRPr="0018326A">
              <w:rPr>
                <w:rFonts w:cs="Calibri"/>
                <w:sz w:val="18"/>
                <w:szCs w:val="18"/>
              </w:rPr>
              <w:t xml:space="preserve">Zgodnie z załącznikiem nr </w:t>
            </w:r>
            <w:r w:rsidR="008F6F2F" w:rsidRPr="0018326A">
              <w:rPr>
                <w:rFonts w:cs="Calibri"/>
                <w:sz w:val="18"/>
                <w:szCs w:val="18"/>
              </w:rPr>
              <w:t>4</w:t>
            </w:r>
            <w:r w:rsidRPr="0018326A">
              <w:rPr>
                <w:rFonts w:cs="Calibri"/>
                <w:sz w:val="18"/>
                <w:szCs w:val="18"/>
              </w:rPr>
              <w:t xml:space="preserve"> do Prospektu Informacyjnego - ,,Standard wykończenia”</w:t>
            </w:r>
          </w:p>
        </w:tc>
      </w:tr>
      <w:tr w:rsidR="00414186" w:rsidRPr="0018326A" w14:paraId="18FA46EB" w14:textId="77777777" w:rsidTr="0018326A">
        <w:trPr>
          <w:trHeight w:val="45"/>
          <w:tblCellSpacing w:w="0" w:type="auto"/>
        </w:trPr>
        <w:tc>
          <w:tcPr>
            <w:tcW w:w="3203" w:type="dxa"/>
            <w:vMerge/>
            <w:tcBorders>
              <w:top w:val="nil"/>
              <w:bottom w:val="single" w:sz="8" w:space="0" w:color="000000"/>
              <w:right w:val="single" w:sz="8" w:space="0" w:color="000000"/>
            </w:tcBorders>
          </w:tcPr>
          <w:p w14:paraId="57475906"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672F1E88" w14:textId="77777777" w:rsidR="004151A2" w:rsidRPr="0018326A" w:rsidRDefault="00000000">
            <w:pPr>
              <w:spacing w:after="0"/>
              <w:rPr>
                <w:sz w:val="18"/>
                <w:szCs w:val="18"/>
              </w:rPr>
            </w:pPr>
            <w:r w:rsidRPr="0018326A">
              <w:rPr>
                <w:color w:val="000000"/>
                <w:sz w:val="18"/>
                <w:szCs w:val="18"/>
              </w:rPr>
              <w:t>Liczba lokali w budynku</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15B34211" w14:textId="5E166818" w:rsidR="00794149" w:rsidRPr="0018326A" w:rsidRDefault="003D553D" w:rsidP="003D553D">
            <w:pPr>
              <w:rPr>
                <w:sz w:val="18"/>
                <w:szCs w:val="18"/>
              </w:rPr>
            </w:pPr>
            <w:r>
              <w:rPr>
                <w:sz w:val="18"/>
                <w:szCs w:val="18"/>
              </w:rPr>
              <w:t>75</w:t>
            </w:r>
            <w:r w:rsidR="00794149">
              <w:rPr>
                <w:sz w:val="18"/>
                <w:szCs w:val="18"/>
              </w:rPr>
              <w:t xml:space="preserve"> </w:t>
            </w:r>
            <w:r>
              <w:rPr>
                <w:sz w:val="18"/>
                <w:szCs w:val="18"/>
              </w:rPr>
              <w:t>mieszkań</w:t>
            </w:r>
          </w:p>
        </w:tc>
      </w:tr>
      <w:tr w:rsidR="00414186" w:rsidRPr="0018326A" w14:paraId="77647959" w14:textId="77777777" w:rsidTr="0018326A">
        <w:trPr>
          <w:trHeight w:val="45"/>
          <w:tblCellSpacing w:w="0" w:type="auto"/>
        </w:trPr>
        <w:tc>
          <w:tcPr>
            <w:tcW w:w="3203" w:type="dxa"/>
            <w:vMerge/>
            <w:tcBorders>
              <w:top w:val="nil"/>
              <w:bottom w:val="single" w:sz="8" w:space="0" w:color="000000"/>
              <w:right w:val="single" w:sz="8" w:space="0" w:color="000000"/>
            </w:tcBorders>
          </w:tcPr>
          <w:p w14:paraId="547F5673"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342452A5" w14:textId="77777777" w:rsidR="004151A2" w:rsidRPr="0018326A" w:rsidRDefault="00000000">
            <w:pPr>
              <w:spacing w:after="0"/>
              <w:rPr>
                <w:sz w:val="18"/>
                <w:szCs w:val="18"/>
              </w:rPr>
            </w:pPr>
            <w:r w:rsidRPr="0018326A">
              <w:rPr>
                <w:color w:val="000000"/>
                <w:sz w:val="18"/>
                <w:szCs w:val="18"/>
              </w:rPr>
              <w:t>Liczba miejsc garażowych i postojowych</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1BEC8AAA" w14:textId="107CF70D" w:rsidR="004151A2" w:rsidRDefault="003D553D">
            <w:pPr>
              <w:rPr>
                <w:sz w:val="18"/>
                <w:szCs w:val="18"/>
              </w:rPr>
            </w:pPr>
            <w:r>
              <w:rPr>
                <w:sz w:val="18"/>
                <w:szCs w:val="18"/>
              </w:rPr>
              <w:t>60</w:t>
            </w:r>
            <w:r w:rsidR="0069644D">
              <w:rPr>
                <w:sz w:val="18"/>
                <w:szCs w:val="18"/>
              </w:rPr>
              <w:t xml:space="preserve"> </w:t>
            </w:r>
            <w:r w:rsidR="008604B0">
              <w:rPr>
                <w:sz w:val="18"/>
                <w:szCs w:val="18"/>
              </w:rPr>
              <w:t>miejsc postojow</w:t>
            </w:r>
            <w:r>
              <w:rPr>
                <w:sz w:val="18"/>
                <w:szCs w:val="18"/>
              </w:rPr>
              <w:t>ych</w:t>
            </w:r>
            <w:r w:rsidR="008604B0">
              <w:rPr>
                <w:sz w:val="18"/>
                <w:szCs w:val="18"/>
              </w:rPr>
              <w:t xml:space="preserve"> w </w:t>
            </w:r>
            <w:r>
              <w:rPr>
                <w:sz w:val="18"/>
                <w:szCs w:val="18"/>
              </w:rPr>
              <w:t xml:space="preserve"> hali garażowej</w:t>
            </w:r>
          </w:p>
          <w:p w14:paraId="708347C0" w14:textId="37266DCB" w:rsidR="008604B0" w:rsidRPr="0018326A" w:rsidRDefault="0069644D">
            <w:pPr>
              <w:rPr>
                <w:sz w:val="18"/>
                <w:szCs w:val="18"/>
              </w:rPr>
            </w:pPr>
            <w:r>
              <w:rPr>
                <w:sz w:val="18"/>
                <w:szCs w:val="18"/>
              </w:rPr>
              <w:t>55</w:t>
            </w:r>
            <w:r w:rsidR="00794149">
              <w:rPr>
                <w:sz w:val="18"/>
                <w:szCs w:val="18"/>
              </w:rPr>
              <w:t xml:space="preserve"> </w:t>
            </w:r>
            <w:r w:rsidR="008604B0">
              <w:rPr>
                <w:sz w:val="18"/>
                <w:szCs w:val="18"/>
              </w:rPr>
              <w:t>miejsc postojow</w:t>
            </w:r>
            <w:r>
              <w:rPr>
                <w:sz w:val="18"/>
                <w:szCs w:val="18"/>
              </w:rPr>
              <w:t>ych</w:t>
            </w:r>
            <w:r w:rsidR="008604B0">
              <w:rPr>
                <w:sz w:val="18"/>
                <w:szCs w:val="18"/>
              </w:rPr>
              <w:t xml:space="preserve"> na terenie działki</w:t>
            </w:r>
            <w:r>
              <w:rPr>
                <w:sz w:val="18"/>
                <w:szCs w:val="18"/>
              </w:rPr>
              <w:t xml:space="preserve"> oraz 29 miejsc postojowych w działce drogowej </w:t>
            </w:r>
          </w:p>
        </w:tc>
      </w:tr>
      <w:tr w:rsidR="00414186" w:rsidRPr="0018326A" w14:paraId="4E9E3A8F" w14:textId="77777777" w:rsidTr="0018326A">
        <w:trPr>
          <w:trHeight w:val="45"/>
          <w:tblCellSpacing w:w="0" w:type="auto"/>
        </w:trPr>
        <w:tc>
          <w:tcPr>
            <w:tcW w:w="3203" w:type="dxa"/>
            <w:vMerge/>
            <w:tcBorders>
              <w:top w:val="nil"/>
              <w:bottom w:val="single" w:sz="8" w:space="0" w:color="000000"/>
              <w:right w:val="single" w:sz="8" w:space="0" w:color="000000"/>
            </w:tcBorders>
          </w:tcPr>
          <w:p w14:paraId="64903B0C"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0C3634F9" w14:textId="77777777" w:rsidR="004151A2" w:rsidRPr="0018326A" w:rsidRDefault="00000000">
            <w:pPr>
              <w:spacing w:after="0"/>
              <w:rPr>
                <w:sz w:val="18"/>
                <w:szCs w:val="18"/>
              </w:rPr>
            </w:pPr>
            <w:r w:rsidRPr="0018326A">
              <w:rPr>
                <w:color w:val="000000"/>
                <w:sz w:val="18"/>
                <w:szCs w:val="18"/>
              </w:rPr>
              <w:t>Dostępne media w budynku</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169AE05E" w14:textId="306E7786" w:rsidR="0008511D" w:rsidRPr="0018326A" w:rsidRDefault="0070340B">
            <w:pPr>
              <w:rPr>
                <w:b/>
                <w:bCs/>
                <w:sz w:val="18"/>
                <w:szCs w:val="18"/>
              </w:rPr>
            </w:pPr>
            <w:r w:rsidRPr="0018326A">
              <w:rPr>
                <w:sz w:val="18"/>
                <w:szCs w:val="18"/>
              </w:rPr>
              <w:t>Instalacja wodociągowa;</w:t>
            </w:r>
            <w:r w:rsidR="0008511D" w:rsidRPr="0018326A">
              <w:rPr>
                <w:sz w:val="18"/>
                <w:szCs w:val="18"/>
              </w:rPr>
              <w:br/>
              <w:t>Instalacja kanalizacji sanitarnej;</w:t>
            </w:r>
            <w:r w:rsidR="0008511D" w:rsidRPr="0018326A">
              <w:rPr>
                <w:sz w:val="18"/>
                <w:szCs w:val="18"/>
              </w:rPr>
              <w:br/>
              <w:t>Instalacja ciepłownicza;</w:t>
            </w:r>
            <w:r w:rsidR="0008511D" w:rsidRPr="0018326A">
              <w:rPr>
                <w:sz w:val="18"/>
                <w:szCs w:val="18"/>
              </w:rPr>
              <w:br/>
              <w:t>Instalacja elektryczna;</w:t>
            </w:r>
            <w:r w:rsidR="0008511D" w:rsidRPr="0018326A">
              <w:rPr>
                <w:sz w:val="18"/>
                <w:szCs w:val="18"/>
              </w:rPr>
              <w:br/>
              <w:t>Instalacja gazowa;</w:t>
            </w:r>
            <w:r w:rsidR="0008511D" w:rsidRPr="0018326A">
              <w:rPr>
                <w:sz w:val="18"/>
                <w:szCs w:val="18"/>
              </w:rPr>
              <w:br/>
            </w:r>
            <w:r w:rsidR="0008511D" w:rsidRPr="0018326A">
              <w:rPr>
                <w:sz w:val="18"/>
                <w:szCs w:val="18"/>
              </w:rPr>
              <w:lastRenderedPageBreak/>
              <w:t>Instalacja teletechniczna;</w:t>
            </w:r>
            <w:r w:rsidR="0008511D" w:rsidRPr="0018326A">
              <w:rPr>
                <w:sz w:val="18"/>
                <w:szCs w:val="18"/>
              </w:rPr>
              <w:br/>
              <w:t>Instalacja wód deszczowych</w:t>
            </w:r>
          </w:p>
        </w:tc>
      </w:tr>
      <w:tr w:rsidR="00414186" w:rsidRPr="0018326A" w14:paraId="5031CBB7" w14:textId="77777777" w:rsidTr="0018326A">
        <w:trPr>
          <w:trHeight w:val="45"/>
          <w:tblCellSpacing w:w="0" w:type="auto"/>
        </w:trPr>
        <w:tc>
          <w:tcPr>
            <w:tcW w:w="3203" w:type="dxa"/>
            <w:vMerge/>
            <w:tcBorders>
              <w:top w:val="nil"/>
              <w:bottom w:val="single" w:sz="8" w:space="0" w:color="000000"/>
              <w:right w:val="single" w:sz="8" w:space="0" w:color="000000"/>
            </w:tcBorders>
          </w:tcPr>
          <w:p w14:paraId="27395392" w14:textId="77777777" w:rsidR="004151A2" w:rsidRPr="0018326A" w:rsidRDefault="004151A2">
            <w:pPr>
              <w:rPr>
                <w:sz w:val="18"/>
                <w:szCs w:val="18"/>
              </w:rPr>
            </w:pPr>
          </w:p>
        </w:tc>
        <w:tc>
          <w:tcPr>
            <w:tcW w:w="3292" w:type="dxa"/>
            <w:gridSpan w:val="2"/>
            <w:tcBorders>
              <w:bottom w:val="single" w:sz="8" w:space="0" w:color="000000"/>
              <w:right w:val="single" w:sz="8" w:space="0" w:color="000000"/>
            </w:tcBorders>
            <w:tcMar>
              <w:top w:w="15" w:type="dxa"/>
              <w:left w:w="15" w:type="dxa"/>
              <w:bottom w:w="15" w:type="dxa"/>
              <w:right w:w="15" w:type="dxa"/>
            </w:tcMar>
            <w:vAlign w:val="center"/>
          </w:tcPr>
          <w:p w14:paraId="5D47D6CA" w14:textId="77777777" w:rsidR="004151A2" w:rsidRPr="0018326A" w:rsidRDefault="00000000">
            <w:pPr>
              <w:spacing w:after="0"/>
              <w:rPr>
                <w:sz w:val="18"/>
                <w:szCs w:val="18"/>
              </w:rPr>
            </w:pPr>
            <w:r w:rsidRPr="0018326A">
              <w:rPr>
                <w:color w:val="000000"/>
                <w:sz w:val="18"/>
                <w:szCs w:val="18"/>
              </w:rPr>
              <w:t>Dostęp do drogi publicznej</w:t>
            </w:r>
          </w:p>
        </w:tc>
        <w:tc>
          <w:tcPr>
            <w:tcW w:w="4137" w:type="dxa"/>
            <w:gridSpan w:val="2"/>
            <w:tcBorders>
              <w:bottom w:val="single" w:sz="8" w:space="0" w:color="000000"/>
              <w:right w:val="single" w:sz="8" w:space="0" w:color="000000"/>
            </w:tcBorders>
            <w:tcMar>
              <w:top w:w="15" w:type="dxa"/>
              <w:left w:w="15" w:type="dxa"/>
              <w:bottom w:w="15" w:type="dxa"/>
              <w:right w:w="15" w:type="dxa"/>
            </w:tcMar>
            <w:vAlign w:val="center"/>
          </w:tcPr>
          <w:p w14:paraId="2807D98D" w14:textId="0D2CEB42" w:rsidR="004151A2" w:rsidRPr="0018326A" w:rsidRDefault="00DA70F9">
            <w:pPr>
              <w:rPr>
                <w:sz w:val="18"/>
                <w:szCs w:val="18"/>
              </w:rPr>
            </w:pPr>
            <w:r w:rsidRPr="008604B0">
              <w:rPr>
                <w:sz w:val="18"/>
                <w:szCs w:val="18"/>
              </w:rPr>
              <w:t>dostęp do ul. Bocznej – drogą dojazdową KD</w:t>
            </w:r>
            <w:r w:rsidR="0088313A">
              <w:rPr>
                <w:sz w:val="18"/>
                <w:szCs w:val="18"/>
              </w:rPr>
              <w:t xml:space="preserve"> (ul. Botaniczna)</w:t>
            </w:r>
          </w:p>
        </w:tc>
      </w:tr>
      <w:tr w:rsidR="00414186" w:rsidRPr="0018326A" w14:paraId="4F98A027"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21610EFD" w14:textId="77777777" w:rsidR="004151A2" w:rsidRPr="0018326A" w:rsidRDefault="00000000">
            <w:pPr>
              <w:spacing w:after="0"/>
              <w:rPr>
                <w:sz w:val="18"/>
                <w:szCs w:val="18"/>
              </w:rPr>
            </w:pPr>
            <w:r w:rsidRPr="0018326A">
              <w:rPr>
                <w:color w:val="000000"/>
                <w:sz w:val="18"/>
                <w:szCs w:val="18"/>
              </w:rPr>
              <w:t>Określenie usytuowania lokalu mieszkalnego w budynku, jeżeli przedsięwzięcie deweloperskie lub zadanie inwestycyjne dotyczy lokali mieszkalnych</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2388BBC8" w14:textId="37A21AD5" w:rsidR="004151A2" w:rsidRPr="0018326A" w:rsidRDefault="00414186">
            <w:pPr>
              <w:rPr>
                <w:bCs/>
                <w:sz w:val="18"/>
                <w:szCs w:val="18"/>
              </w:rPr>
            </w:pPr>
            <w:r w:rsidRPr="0018326A">
              <w:rPr>
                <w:rFonts w:cs="Calibri"/>
                <w:bCs/>
                <w:sz w:val="18"/>
                <w:szCs w:val="18"/>
                <w:shd w:val="clear" w:color="auto" w:fill="FFFFFF"/>
              </w:rPr>
              <w:t xml:space="preserve">Lokal nr </w:t>
            </w:r>
            <w:r w:rsidRPr="0018326A">
              <w:rPr>
                <w:rFonts w:cs="Calibri"/>
                <w:bCs/>
                <w:sz w:val="18"/>
                <w:szCs w:val="18"/>
                <w:shd w:val="clear" w:color="auto" w:fill="FFFF00"/>
              </w:rPr>
              <w:t>…..</w:t>
            </w:r>
            <w:r w:rsidRPr="0018326A">
              <w:rPr>
                <w:rFonts w:cs="Calibri"/>
                <w:bCs/>
                <w:sz w:val="18"/>
                <w:szCs w:val="18"/>
                <w:shd w:val="clear" w:color="auto" w:fill="FFFFFF"/>
              </w:rPr>
              <w:t xml:space="preserve"> położony na </w:t>
            </w:r>
            <w:r w:rsidRPr="0018326A">
              <w:rPr>
                <w:rFonts w:cs="Calibri"/>
                <w:bCs/>
                <w:sz w:val="18"/>
                <w:szCs w:val="18"/>
                <w:shd w:val="clear" w:color="auto" w:fill="FFFF00"/>
              </w:rPr>
              <w:t>……….</w:t>
            </w:r>
            <w:r w:rsidRPr="0018326A">
              <w:rPr>
                <w:rFonts w:cs="Calibri"/>
                <w:bCs/>
                <w:sz w:val="18"/>
                <w:szCs w:val="18"/>
                <w:shd w:val="clear" w:color="auto" w:fill="FFFFFF"/>
              </w:rPr>
              <w:t xml:space="preserve"> piętrze w klatce </w:t>
            </w:r>
            <w:r w:rsidRPr="0018326A">
              <w:rPr>
                <w:rFonts w:cs="Calibri"/>
                <w:bCs/>
                <w:sz w:val="18"/>
                <w:szCs w:val="18"/>
                <w:shd w:val="clear" w:color="auto" w:fill="FFFF00"/>
              </w:rPr>
              <w:t>…..</w:t>
            </w:r>
            <w:r w:rsidRPr="0018326A">
              <w:rPr>
                <w:rFonts w:cs="Calibri"/>
                <w:bCs/>
                <w:sz w:val="18"/>
                <w:szCs w:val="18"/>
                <w:shd w:val="clear" w:color="auto" w:fill="FFFFFF"/>
              </w:rPr>
              <w:t xml:space="preserve"> w budynku </w:t>
            </w:r>
            <w:r w:rsidR="00F84DF7">
              <w:rPr>
                <w:rFonts w:cs="Calibri"/>
                <w:bCs/>
                <w:sz w:val="18"/>
                <w:szCs w:val="18"/>
                <w:shd w:val="clear" w:color="auto" w:fill="FFFFFF"/>
              </w:rPr>
              <w:t>………..</w:t>
            </w:r>
          </w:p>
        </w:tc>
      </w:tr>
      <w:tr w:rsidR="00414186" w:rsidRPr="0018326A" w14:paraId="6F59D0D9"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2D44D05C" w14:textId="77777777" w:rsidR="00414186" w:rsidRPr="0018326A" w:rsidRDefault="00414186" w:rsidP="00414186">
            <w:pPr>
              <w:spacing w:after="0"/>
              <w:rPr>
                <w:sz w:val="18"/>
                <w:szCs w:val="18"/>
                <w:highlight w:val="yellow"/>
              </w:rPr>
            </w:pPr>
            <w:r w:rsidRPr="0018326A">
              <w:rPr>
                <w:color w:val="000000"/>
                <w:sz w:val="18"/>
                <w:szCs w:val="18"/>
              </w:rPr>
              <w:t>Określenie powierzchni użytkowej i układu pomieszczeń oraz zakresu i standardu prac wykończeniowych, do których wykonania zobowiązuje się deweloper</w:t>
            </w:r>
          </w:p>
        </w:tc>
        <w:tc>
          <w:tcPr>
            <w:tcW w:w="7429" w:type="dxa"/>
            <w:gridSpan w:val="4"/>
            <w:tcBorders>
              <w:bottom w:val="single" w:sz="8" w:space="0" w:color="000000"/>
              <w:right w:val="single" w:sz="8" w:space="0" w:color="000000"/>
            </w:tcBorders>
            <w:tcMar>
              <w:top w:w="15" w:type="dxa"/>
              <w:left w:w="15" w:type="dxa"/>
              <w:bottom w:w="15" w:type="dxa"/>
              <w:right w:w="15" w:type="dxa"/>
            </w:tcMar>
          </w:tcPr>
          <w:p w14:paraId="22BD88B8" w14:textId="4AD94DCB" w:rsidR="00414186" w:rsidRPr="0018326A" w:rsidRDefault="00414186" w:rsidP="00414186">
            <w:pPr>
              <w:shd w:val="clear" w:color="auto" w:fill="FFFFFF"/>
              <w:suppressAutoHyphens/>
              <w:snapToGrid w:val="0"/>
              <w:spacing w:before="30" w:after="0" w:line="270" w:lineRule="exact"/>
              <w:rPr>
                <w:rFonts w:cs="Calibri"/>
                <w:bCs/>
                <w:sz w:val="18"/>
                <w:szCs w:val="18"/>
              </w:rPr>
            </w:pPr>
            <w:r w:rsidRPr="0018326A">
              <w:rPr>
                <w:rFonts w:cs="Calibri"/>
                <w:bCs/>
                <w:sz w:val="18"/>
                <w:szCs w:val="18"/>
              </w:rPr>
              <w:t xml:space="preserve">Lokal o powierzchni użytkowej …… m2, składający się z: </w:t>
            </w:r>
          </w:p>
          <w:p w14:paraId="5C32B835" w14:textId="15678138" w:rsidR="00414186" w:rsidRPr="0018326A" w:rsidRDefault="00414186" w:rsidP="00414186">
            <w:pPr>
              <w:shd w:val="clear" w:color="auto" w:fill="FFFFFF"/>
              <w:suppressAutoHyphens/>
              <w:snapToGrid w:val="0"/>
              <w:spacing w:before="30" w:after="0" w:line="270" w:lineRule="exact"/>
              <w:rPr>
                <w:rFonts w:cs="Calibri"/>
                <w:bCs/>
                <w:sz w:val="18"/>
                <w:szCs w:val="18"/>
              </w:rPr>
            </w:pPr>
            <w:r w:rsidRPr="0018326A">
              <w:rPr>
                <w:rFonts w:cs="Calibri"/>
                <w:bCs/>
                <w:sz w:val="18"/>
                <w:szCs w:val="18"/>
              </w:rPr>
              <w:t xml:space="preserve">holu, łazienki, pokoju dziennego z aneksem kuchennym, sypialni ……………… </w:t>
            </w:r>
          </w:p>
          <w:p w14:paraId="20D1C064" w14:textId="77777777" w:rsidR="00414186" w:rsidRPr="0018326A" w:rsidRDefault="00414186" w:rsidP="00414186">
            <w:pPr>
              <w:shd w:val="clear" w:color="auto" w:fill="FFFFFF"/>
              <w:suppressAutoHyphens/>
              <w:snapToGrid w:val="0"/>
              <w:spacing w:before="30" w:after="0" w:line="270" w:lineRule="exact"/>
              <w:rPr>
                <w:rFonts w:cs="Calibri"/>
                <w:bCs/>
                <w:sz w:val="18"/>
                <w:szCs w:val="18"/>
              </w:rPr>
            </w:pPr>
            <w:r w:rsidRPr="0018326A">
              <w:rPr>
                <w:rFonts w:cs="Calibri"/>
                <w:bCs/>
                <w:sz w:val="18"/>
                <w:szCs w:val="18"/>
              </w:rPr>
              <w:t>Wystawa okien: …………..</w:t>
            </w:r>
          </w:p>
          <w:p w14:paraId="43FA2B3E" w14:textId="314F6DE5" w:rsidR="00414186" w:rsidRPr="0018326A" w:rsidRDefault="00414186" w:rsidP="00414186">
            <w:pPr>
              <w:rPr>
                <w:sz w:val="18"/>
                <w:szCs w:val="18"/>
              </w:rPr>
            </w:pPr>
            <w:r w:rsidRPr="0018326A">
              <w:rPr>
                <w:rFonts w:cs="Calibri"/>
                <w:bCs/>
                <w:sz w:val="18"/>
                <w:szCs w:val="18"/>
              </w:rPr>
              <w:t xml:space="preserve">Standard wykończenia określa załącznik nr </w:t>
            </w:r>
            <w:r w:rsidR="008F6F2F" w:rsidRPr="0018326A">
              <w:rPr>
                <w:rFonts w:cs="Calibri"/>
                <w:bCs/>
                <w:sz w:val="18"/>
                <w:szCs w:val="18"/>
              </w:rPr>
              <w:t>4</w:t>
            </w:r>
            <w:r w:rsidRPr="0018326A">
              <w:rPr>
                <w:rFonts w:cs="Calibri"/>
                <w:bCs/>
                <w:sz w:val="18"/>
                <w:szCs w:val="18"/>
              </w:rPr>
              <w:t xml:space="preserve"> do Prospektu Informacyjnego - ,,Standard wykończenia”.</w:t>
            </w:r>
          </w:p>
        </w:tc>
      </w:tr>
      <w:tr w:rsidR="00414186" w:rsidRPr="0018326A" w14:paraId="56E3D8A8"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63AE012D" w14:textId="77777777" w:rsidR="00414186" w:rsidRPr="0018326A" w:rsidRDefault="00414186" w:rsidP="00414186">
            <w:pPr>
              <w:spacing w:after="0"/>
              <w:rPr>
                <w:sz w:val="18"/>
                <w:szCs w:val="18"/>
              </w:rPr>
            </w:pPr>
            <w:r w:rsidRPr="0018326A">
              <w:rPr>
                <w:color w:val="000000"/>
                <w:sz w:val="18"/>
                <w:szCs w:val="18"/>
              </w:rPr>
              <w:t>Data wydania zaświadczenia o samodzielności lokalu mieszkalnego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25700E5D" w14:textId="27904E0A" w:rsidR="00414186" w:rsidRPr="0018326A" w:rsidRDefault="008604B0" w:rsidP="00414186">
            <w:pPr>
              <w:rPr>
                <w:sz w:val="18"/>
                <w:szCs w:val="18"/>
              </w:rPr>
            </w:pPr>
            <w:r>
              <w:rPr>
                <w:sz w:val="18"/>
                <w:szCs w:val="18"/>
              </w:rPr>
              <w:t>Nie dotyczy</w:t>
            </w:r>
          </w:p>
        </w:tc>
      </w:tr>
      <w:tr w:rsidR="00414186" w:rsidRPr="0018326A" w14:paraId="2D7C76DF"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7DFB7AD2" w14:textId="77777777" w:rsidR="00414186" w:rsidRPr="0018326A" w:rsidRDefault="00414186" w:rsidP="00414186">
            <w:pPr>
              <w:spacing w:after="0"/>
              <w:rPr>
                <w:sz w:val="18"/>
                <w:szCs w:val="18"/>
                <w:highlight w:val="yellow"/>
              </w:rPr>
            </w:pPr>
            <w:r w:rsidRPr="0018326A">
              <w:rPr>
                <w:color w:val="000000"/>
                <w:sz w:val="18"/>
                <w:szCs w:val="18"/>
              </w:rPr>
              <w:t>Data ustanowienia odrębnej własności lokalu mieszkalnego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33A3C9AB" w14:textId="45B549E8" w:rsidR="00414186" w:rsidRPr="0018326A" w:rsidRDefault="00CE41A8" w:rsidP="00414186">
            <w:pPr>
              <w:rPr>
                <w:sz w:val="18"/>
                <w:szCs w:val="18"/>
              </w:rPr>
            </w:pPr>
            <w:r>
              <w:rPr>
                <w:b/>
                <w:bCs/>
                <w:sz w:val="20"/>
                <w:szCs w:val="20"/>
              </w:rPr>
              <w:t>31.12.2028 r.</w:t>
            </w:r>
          </w:p>
        </w:tc>
      </w:tr>
      <w:tr w:rsidR="00414186" w:rsidRPr="0018326A" w14:paraId="455C1082"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1AE90302" w14:textId="77777777" w:rsidR="00414186" w:rsidRPr="0018326A" w:rsidRDefault="00414186" w:rsidP="00414186">
            <w:pPr>
              <w:spacing w:after="0"/>
              <w:rPr>
                <w:sz w:val="18"/>
                <w:szCs w:val="18"/>
                <w:highlight w:val="yellow"/>
              </w:rPr>
            </w:pPr>
            <w:r w:rsidRPr="0018326A">
              <w:rPr>
                <w:color w:val="000000"/>
                <w:sz w:val="18"/>
                <w:szCs w:val="18"/>
              </w:rPr>
              <w:t>Informacje o lokalu użytkowym nabywanym równocześnie z lokalem mieszkalnym albo domem jednorodzinnym</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78252DD4" w14:textId="588BF360" w:rsidR="00414186" w:rsidRPr="0018326A" w:rsidRDefault="008604B0" w:rsidP="00414186">
            <w:pPr>
              <w:rPr>
                <w:sz w:val="18"/>
                <w:szCs w:val="18"/>
              </w:rPr>
            </w:pPr>
            <w:r>
              <w:rPr>
                <w:sz w:val="18"/>
                <w:szCs w:val="18"/>
              </w:rPr>
              <w:t>N</w:t>
            </w:r>
            <w:r w:rsidR="008F6F2F" w:rsidRPr="0018326A">
              <w:rPr>
                <w:sz w:val="18"/>
                <w:szCs w:val="18"/>
              </w:rPr>
              <w:t>ie dotyczy</w:t>
            </w:r>
          </w:p>
        </w:tc>
      </w:tr>
      <w:tr w:rsidR="00414186" w:rsidRPr="0018326A" w14:paraId="55303DBD"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77F213AE" w14:textId="77777777" w:rsidR="00414186" w:rsidRPr="0018326A" w:rsidRDefault="00414186" w:rsidP="00414186">
            <w:pPr>
              <w:spacing w:after="0"/>
              <w:rPr>
                <w:sz w:val="18"/>
                <w:szCs w:val="18"/>
                <w:highlight w:val="yellow"/>
              </w:rPr>
            </w:pPr>
            <w:r w:rsidRPr="0018326A">
              <w:rPr>
                <w:color w:val="000000"/>
                <w:sz w:val="18"/>
                <w:szCs w:val="18"/>
              </w:rPr>
              <w:t>Cena lokalu użytkowego albo ułamkowej części własności lokalu użytkowego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1CE9ECDB" w14:textId="2523CACF" w:rsidR="00414186" w:rsidRPr="0018326A" w:rsidRDefault="008604B0" w:rsidP="00414186">
            <w:pPr>
              <w:rPr>
                <w:sz w:val="18"/>
                <w:szCs w:val="18"/>
              </w:rPr>
            </w:pPr>
            <w:r>
              <w:rPr>
                <w:sz w:val="18"/>
                <w:szCs w:val="18"/>
              </w:rPr>
              <w:t>N</w:t>
            </w:r>
            <w:r w:rsidR="00414186" w:rsidRPr="0018326A">
              <w:rPr>
                <w:sz w:val="18"/>
                <w:szCs w:val="18"/>
              </w:rPr>
              <w:t>ie dotyczy</w:t>
            </w:r>
          </w:p>
        </w:tc>
      </w:tr>
      <w:tr w:rsidR="00414186" w:rsidRPr="0018326A" w14:paraId="283ABFDB" w14:textId="77777777" w:rsidTr="0018326A">
        <w:trPr>
          <w:trHeight w:val="45"/>
          <w:tblCellSpacing w:w="0" w:type="auto"/>
        </w:trPr>
        <w:tc>
          <w:tcPr>
            <w:tcW w:w="3203" w:type="dxa"/>
            <w:tcBorders>
              <w:bottom w:val="single" w:sz="8" w:space="0" w:color="000000"/>
              <w:right w:val="single" w:sz="8" w:space="0" w:color="000000"/>
            </w:tcBorders>
            <w:tcMar>
              <w:top w:w="15" w:type="dxa"/>
              <w:left w:w="15" w:type="dxa"/>
              <w:bottom w:w="15" w:type="dxa"/>
              <w:right w:w="15" w:type="dxa"/>
            </w:tcMar>
            <w:vAlign w:val="center"/>
          </w:tcPr>
          <w:p w14:paraId="36BD4DA2" w14:textId="77777777" w:rsidR="00414186" w:rsidRPr="0018326A" w:rsidRDefault="00414186" w:rsidP="00414186">
            <w:pPr>
              <w:spacing w:after="0"/>
              <w:rPr>
                <w:sz w:val="18"/>
                <w:szCs w:val="18"/>
              </w:rPr>
            </w:pPr>
            <w:r w:rsidRPr="0018326A">
              <w:rPr>
                <w:color w:val="000000"/>
                <w:sz w:val="18"/>
                <w:szCs w:val="18"/>
              </w:rPr>
              <w:t>Termin, do którego nastąpi przeniesienie prawa własności lokalu użytkowego albo ułamkowej części własności lokalu użytkowego</w:t>
            </w:r>
          </w:p>
        </w:tc>
        <w:tc>
          <w:tcPr>
            <w:tcW w:w="7429" w:type="dxa"/>
            <w:gridSpan w:val="4"/>
            <w:tcBorders>
              <w:bottom w:val="single" w:sz="8" w:space="0" w:color="000000"/>
              <w:right w:val="single" w:sz="8" w:space="0" w:color="000000"/>
            </w:tcBorders>
            <w:tcMar>
              <w:top w:w="15" w:type="dxa"/>
              <w:left w:w="15" w:type="dxa"/>
              <w:bottom w:w="15" w:type="dxa"/>
              <w:right w:w="15" w:type="dxa"/>
            </w:tcMar>
            <w:vAlign w:val="center"/>
          </w:tcPr>
          <w:p w14:paraId="17580EC1" w14:textId="44D8D665" w:rsidR="00414186" w:rsidRPr="0018326A" w:rsidRDefault="008604B0" w:rsidP="00414186">
            <w:pPr>
              <w:rPr>
                <w:sz w:val="18"/>
                <w:szCs w:val="18"/>
              </w:rPr>
            </w:pPr>
            <w:r>
              <w:rPr>
                <w:sz w:val="18"/>
                <w:szCs w:val="18"/>
              </w:rPr>
              <w:t>N</w:t>
            </w:r>
            <w:r w:rsidR="00414186" w:rsidRPr="0018326A">
              <w:rPr>
                <w:sz w:val="18"/>
                <w:szCs w:val="18"/>
              </w:rPr>
              <w:t>ie dotyczy</w:t>
            </w:r>
          </w:p>
        </w:tc>
      </w:tr>
      <w:tr w:rsidR="00414186" w:rsidRPr="0018326A" w14:paraId="007CAB7B" w14:textId="77777777" w:rsidTr="0018326A">
        <w:tblPrEx>
          <w:tblBorders>
            <w:top w:val="none" w:sz="0" w:space="0" w:color="auto"/>
            <w:left w:val="none" w:sz="0" w:space="0" w:color="auto"/>
            <w:bottom w:val="none" w:sz="0" w:space="0" w:color="auto"/>
            <w:right w:val="none" w:sz="0" w:space="0" w:color="auto"/>
          </w:tblBorders>
        </w:tblPrEx>
        <w:trPr>
          <w:gridAfter w:val="1"/>
          <w:wAfter w:w="1314" w:type="dxa"/>
          <w:trHeight w:val="30"/>
          <w:tblCellSpacing w:w="0" w:type="auto"/>
        </w:trPr>
        <w:tc>
          <w:tcPr>
            <w:tcW w:w="4781" w:type="dxa"/>
            <w:gridSpan w:val="2"/>
            <w:tcMar>
              <w:top w:w="15" w:type="dxa"/>
              <w:left w:w="15" w:type="dxa"/>
              <w:bottom w:w="15" w:type="dxa"/>
              <w:right w:w="15" w:type="dxa"/>
            </w:tcMar>
            <w:vAlign w:val="center"/>
          </w:tcPr>
          <w:p w14:paraId="70DF01CF" w14:textId="77777777" w:rsidR="00414186" w:rsidRPr="0018326A" w:rsidRDefault="00414186" w:rsidP="00414186">
            <w:pPr>
              <w:rPr>
                <w:sz w:val="18"/>
                <w:szCs w:val="18"/>
              </w:rPr>
            </w:pPr>
          </w:p>
        </w:tc>
        <w:tc>
          <w:tcPr>
            <w:tcW w:w="4537" w:type="dxa"/>
            <w:gridSpan w:val="2"/>
            <w:tcMar>
              <w:top w:w="15" w:type="dxa"/>
              <w:left w:w="15" w:type="dxa"/>
              <w:bottom w:w="15" w:type="dxa"/>
              <w:right w:w="15" w:type="dxa"/>
            </w:tcMar>
            <w:vAlign w:val="center"/>
          </w:tcPr>
          <w:p w14:paraId="36554674" w14:textId="77777777" w:rsidR="00414186" w:rsidRPr="0018326A" w:rsidRDefault="00414186" w:rsidP="00414186">
            <w:pPr>
              <w:spacing w:after="0"/>
              <w:rPr>
                <w:sz w:val="18"/>
                <w:szCs w:val="18"/>
              </w:rPr>
            </w:pPr>
            <w:r w:rsidRPr="0018326A">
              <w:rPr>
                <w:b/>
                <w:color w:val="000000"/>
                <w:sz w:val="18"/>
                <w:szCs w:val="18"/>
              </w:rPr>
              <w:t>Podpis dewelopera albo osoby upoważnionej do reprezentacji dewelopera</w:t>
            </w:r>
          </w:p>
        </w:tc>
      </w:tr>
      <w:tr w:rsidR="00414186" w:rsidRPr="0018326A" w14:paraId="5D3FF505" w14:textId="77777777" w:rsidTr="0018326A">
        <w:tblPrEx>
          <w:tblBorders>
            <w:top w:val="none" w:sz="0" w:space="0" w:color="auto"/>
            <w:left w:val="none" w:sz="0" w:space="0" w:color="auto"/>
            <w:bottom w:val="none" w:sz="0" w:space="0" w:color="auto"/>
            <w:right w:val="none" w:sz="0" w:space="0" w:color="auto"/>
          </w:tblBorders>
        </w:tblPrEx>
        <w:trPr>
          <w:gridAfter w:val="1"/>
          <w:wAfter w:w="1314" w:type="dxa"/>
          <w:trHeight w:val="30"/>
          <w:tblCellSpacing w:w="0" w:type="auto"/>
        </w:trPr>
        <w:tc>
          <w:tcPr>
            <w:tcW w:w="4781" w:type="dxa"/>
            <w:gridSpan w:val="2"/>
            <w:tcMar>
              <w:top w:w="15" w:type="dxa"/>
              <w:left w:w="15" w:type="dxa"/>
              <w:bottom w:w="15" w:type="dxa"/>
              <w:right w:w="15" w:type="dxa"/>
            </w:tcMar>
            <w:vAlign w:val="center"/>
          </w:tcPr>
          <w:p w14:paraId="49CB5145" w14:textId="77777777" w:rsidR="00414186" w:rsidRPr="0018326A" w:rsidRDefault="00414186" w:rsidP="00414186">
            <w:pPr>
              <w:rPr>
                <w:sz w:val="18"/>
                <w:szCs w:val="18"/>
              </w:rPr>
            </w:pPr>
          </w:p>
        </w:tc>
        <w:tc>
          <w:tcPr>
            <w:tcW w:w="4537" w:type="dxa"/>
            <w:gridSpan w:val="2"/>
            <w:tcMar>
              <w:top w:w="15" w:type="dxa"/>
              <w:left w:w="15" w:type="dxa"/>
              <w:bottom w:w="15" w:type="dxa"/>
              <w:right w:w="15" w:type="dxa"/>
            </w:tcMar>
            <w:vAlign w:val="center"/>
          </w:tcPr>
          <w:p w14:paraId="17F997C4" w14:textId="77777777" w:rsidR="00414186" w:rsidRPr="0018326A" w:rsidRDefault="00414186" w:rsidP="00414186">
            <w:pPr>
              <w:spacing w:after="0"/>
              <w:rPr>
                <w:sz w:val="18"/>
                <w:szCs w:val="18"/>
              </w:rPr>
            </w:pPr>
            <w:r w:rsidRPr="0018326A">
              <w:rPr>
                <w:b/>
                <w:color w:val="000000"/>
                <w:sz w:val="18"/>
                <w:szCs w:val="18"/>
              </w:rPr>
              <w:t>.....................................................</w:t>
            </w:r>
          </w:p>
        </w:tc>
      </w:tr>
    </w:tbl>
    <w:p w14:paraId="42FD65F4" w14:textId="77777777" w:rsidR="00794149" w:rsidRDefault="00794149">
      <w:pPr>
        <w:spacing w:after="0"/>
        <w:rPr>
          <w:sz w:val="14"/>
          <w:szCs w:val="14"/>
        </w:rPr>
      </w:pPr>
    </w:p>
    <w:p w14:paraId="032FE1C5" w14:textId="77777777" w:rsidR="003C0C9B" w:rsidRPr="003C0C9B" w:rsidRDefault="003C0C9B">
      <w:pPr>
        <w:spacing w:after="0"/>
        <w:rPr>
          <w:sz w:val="18"/>
          <w:szCs w:val="18"/>
        </w:rPr>
      </w:pPr>
    </w:p>
    <w:p w14:paraId="6F1A3AC8" w14:textId="77777777" w:rsidR="003C0C9B" w:rsidRPr="003C0C9B" w:rsidRDefault="003C0C9B" w:rsidP="003C0C9B">
      <w:pPr>
        <w:spacing w:before="25" w:after="0"/>
        <w:jc w:val="both"/>
        <w:rPr>
          <w:sz w:val="18"/>
          <w:szCs w:val="18"/>
        </w:rPr>
      </w:pPr>
      <w:r w:rsidRPr="003C0C9B">
        <w:rPr>
          <w:b/>
          <w:color w:val="000000"/>
          <w:sz w:val="18"/>
          <w:szCs w:val="18"/>
        </w:rPr>
        <w:t>Załączniki:</w:t>
      </w:r>
    </w:p>
    <w:p w14:paraId="5C4E0935" w14:textId="77777777" w:rsidR="003C0C9B" w:rsidRPr="003C0C9B" w:rsidRDefault="003C0C9B" w:rsidP="003C0C9B">
      <w:pPr>
        <w:spacing w:before="25" w:after="0"/>
        <w:jc w:val="both"/>
        <w:rPr>
          <w:sz w:val="18"/>
          <w:szCs w:val="18"/>
        </w:rPr>
      </w:pPr>
      <w:r w:rsidRPr="003C0C9B">
        <w:rPr>
          <w:color w:val="000000"/>
          <w:sz w:val="18"/>
          <w:szCs w:val="18"/>
        </w:rPr>
        <w:t>1. Rzut kondygnacji z zaznaczeniem lokalu mieszkalnego.</w:t>
      </w:r>
    </w:p>
    <w:p w14:paraId="38C42E84" w14:textId="77777777" w:rsidR="003C0C9B" w:rsidRPr="003C0C9B" w:rsidRDefault="003C0C9B" w:rsidP="003C0C9B">
      <w:pPr>
        <w:spacing w:before="25" w:after="0"/>
        <w:jc w:val="both"/>
        <w:rPr>
          <w:sz w:val="18"/>
          <w:szCs w:val="18"/>
        </w:rPr>
      </w:pPr>
      <w:r w:rsidRPr="003C0C9B">
        <w:rPr>
          <w:color w:val="000000"/>
          <w:sz w:val="18"/>
          <w:szCs w:val="18"/>
        </w:rPr>
        <w:t xml:space="preserve">2. Wzór umowy deweloperskiej lub umowy, o której mowa w </w:t>
      </w:r>
      <w:r w:rsidRPr="003C0C9B">
        <w:rPr>
          <w:color w:val="1B1B1B"/>
          <w:sz w:val="18"/>
          <w:szCs w:val="18"/>
        </w:rPr>
        <w:t>art. 2 ust. 1 pkt 2</w:t>
      </w:r>
      <w:r w:rsidRPr="003C0C9B">
        <w:rPr>
          <w:color w:val="000000"/>
          <w:sz w:val="18"/>
          <w:szCs w:val="18"/>
        </w:rPr>
        <w:t xml:space="preserve">, </w:t>
      </w:r>
      <w:r w:rsidRPr="003C0C9B">
        <w:rPr>
          <w:color w:val="1B1B1B"/>
          <w:sz w:val="18"/>
          <w:szCs w:val="18"/>
        </w:rPr>
        <w:t>3</w:t>
      </w:r>
      <w:r w:rsidRPr="003C0C9B">
        <w:rPr>
          <w:color w:val="000000"/>
          <w:sz w:val="18"/>
          <w:szCs w:val="18"/>
        </w:rPr>
        <w:t xml:space="preserve"> lub </w:t>
      </w:r>
      <w:r w:rsidRPr="003C0C9B">
        <w:rPr>
          <w:color w:val="1B1B1B"/>
          <w:sz w:val="18"/>
          <w:szCs w:val="18"/>
        </w:rPr>
        <w:t>5</w:t>
      </w:r>
      <w:r w:rsidRPr="003C0C9B">
        <w:rPr>
          <w:color w:val="000000"/>
          <w:sz w:val="18"/>
          <w:szCs w:val="18"/>
        </w:rPr>
        <w:t xml:space="preserve"> ustawy z dnia 20 maja 2021 r. o ochronie praw nabywcy lokalu mieszkalnego lub domu jednorodzinnego oraz Deweloperskim Funduszu Gwarancyjnym.</w:t>
      </w:r>
    </w:p>
    <w:p w14:paraId="593945E2" w14:textId="77777777" w:rsidR="003C0C9B" w:rsidRPr="003C0C9B" w:rsidRDefault="003C0C9B" w:rsidP="003C0C9B">
      <w:pPr>
        <w:spacing w:before="25" w:after="0"/>
        <w:jc w:val="both"/>
        <w:rPr>
          <w:color w:val="000000"/>
          <w:sz w:val="18"/>
          <w:szCs w:val="18"/>
        </w:rPr>
      </w:pPr>
      <w:r w:rsidRPr="003C0C9B">
        <w:rPr>
          <w:color w:val="000000"/>
          <w:sz w:val="18"/>
          <w:szCs w:val="18"/>
        </w:rP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847A1E1" w14:textId="6A960217" w:rsidR="003C0C9B" w:rsidRPr="00401378" w:rsidRDefault="003C0C9B" w:rsidP="00401378">
      <w:pPr>
        <w:spacing w:before="25" w:after="0"/>
        <w:jc w:val="both"/>
        <w:rPr>
          <w:sz w:val="18"/>
          <w:szCs w:val="18"/>
        </w:rPr>
      </w:pPr>
      <w:r w:rsidRPr="003C0C9B">
        <w:rPr>
          <w:color w:val="000000"/>
          <w:sz w:val="18"/>
          <w:szCs w:val="18"/>
        </w:rPr>
        <w:t>4. Zasady Realizacji Zleceń Aranżacyjnych.</w:t>
      </w:r>
    </w:p>
    <w:sectPr w:rsidR="003C0C9B" w:rsidRPr="00401378">
      <w:footerReference w:type="default" r:id="rId1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C66E" w14:textId="77777777" w:rsidR="00413FF1" w:rsidRDefault="00413FF1" w:rsidP="00243285">
      <w:pPr>
        <w:spacing w:after="0" w:line="240" w:lineRule="auto"/>
      </w:pPr>
      <w:r>
        <w:separator/>
      </w:r>
    </w:p>
  </w:endnote>
  <w:endnote w:type="continuationSeparator" w:id="0">
    <w:p w14:paraId="73FD31E6" w14:textId="77777777" w:rsidR="00413FF1" w:rsidRDefault="00413FF1" w:rsidP="0024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37153"/>
      <w:docPartObj>
        <w:docPartGallery w:val="Page Numbers (Bottom of Page)"/>
        <w:docPartUnique/>
      </w:docPartObj>
    </w:sdtPr>
    <w:sdtContent>
      <w:sdt>
        <w:sdtPr>
          <w:id w:val="-1769616900"/>
          <w:docPartObj>
            <w:docPartGallery w:val="Page Numbers (Top of Page)"/>
            <w:docPartUnique/>
          </w:docPartObj>
        </w:sdtPr>
        <w:sdtContent>
          <w:p w14:paraId="131BD9C4" w14:textId="544DAD59" w:rsidR="00243285" w:rsidRDefault="00243285">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2D85571" w14:textId="77777777" w:rsidR="00243285" w:rsidRDefault="002432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D758" w14:textId="77777777" w:rsidR="00413FF1" w:rsidRDefault="00413FF1" w:rsidP="00243285">
      <w:pPr>
        <w:spacing w:after="0" w:line="240" w:lineRule="auto"/>
      </w:pPr>
      <w:r>
        <w:separator/>
      </w:r>
    </w:p>
  </w:footnote>
  <w:footnote w:type="continuationSeparator" w:id="0">
    <w:p w14:paraId="41AB6F95" w14:textId="77777777" w:rsidR="00413FF1" w:rsidRDefault="00413FF1" w:rsidP="00243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B7A"/>
    <w:multiLevelType w:val="hybridMultilevel"/>
    <w:tmpl w:val="352EB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F604D"/>
    <w:multiLevelType w:val="hybridMultilevel"/>
    <w:tmpl w:val="607C0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C22E5"/>
    <w:multiLevelType w:val="hybridMultilevel"/>
    <w:tmpl w:val="EAC666A0"/>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3E728B"/>
    <w:multiLevelType w:val="hybridMultilevel"/>
    <w:tmpl w:val="A1F4BED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B0B586E"/>
    <w:multiLevelType w:val="hybridMultilevel"/>
    <w:tmpl w:val="99166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9B539B"/>
    <w:multiLevelType w:val="hybridMultilevel"/>
    <w:tmpl w:val="2A485EEE"/>
    <w:lvl w:ilvl="0" w:tplc="B3CE5CB8">
      <w:numFmt w:val="bullet"/>
      <w:lvlText w:val="–"/>
      <w:lvlJc w:val="left"/>
      <w:pPr>
        <w:ind w:left="360" w:hanging="360"/>
      </w:pPr>
      <w:rPr>
        <w:rFonts w:ascii="Century" w:eastAsia="Times New Roman" w:hAnsi="Century" w:cs="Times New Roman"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396726"/>
    <w:multiLevelType w:val="hybridMultilevel"/>
    <w:tmpl w:val="C3E24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AD35A3"/>
    <w:multiLevelType w:val="hybridMultilevel"/>
    <w:tmpl w:val="01D46EF2"/>
    <w:lvl w:ilvl="0" w:tplc="61DA7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0863A4"/>
    <w:multiLevelType w:val="hybridMultilevel"/>
    <w:tmpl w:val="6E260DC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6C1629"/>
    <w:multiLevelType w:val="hybridMultilevel"/>
    <w:tmpl w:val="1E588C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E2F65"/>
    <w:multiLevelType w:val="hybridMultilevel"/>
    <w:tmpl w:val="E4FE9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C67E2D"/>
    <w:multiLevelType w:val="hybridMultilevel"/>
    <w:tmpl w:val="231EB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461443"/>
    <w:multiLevelType w:val="hybridMultilevel"/>
    <w:tmpl w:val="B420DBE4"/>
    <w:lvl w:ilvl="0" w:tplc="FFFFFFFF">
      <w:start w:val="1"/>
      <w:numFmt w:val="decimal"/>
      <w:lvlText w:val="%1)"/>
      <w:lvlJc w:val="left"/>
      <w:pPr>
        <w:ind w:left="1549" w:hanging="360"/>
      </w:pPr>
    </w:lvl>
    <w:lvl w:ilvl="1" w:tplc="FFFFFFFF" w:tentative="1">
      <w:start w:val="1"/>
      <w:numFmt w:val="lowerLetter"/>
      <w:lvlText w:val="%2."/>
      <w:lvlJc w:val="left"/>
      <w:pPr>
        <w:ind w:left="2269" w:hanging="360"/>
      </w:pPr>
    </w:lvl>
    <w:lvl w:ilvl="2" w:tplc="FFFFFFFF" w:tentative="1">
      <w:start w:val="1"/>
      <w:numFmt w:val="lowerRoman"/>
      <w:lvlText w:val="%3."/>
      <w:lvlJc w:val="right"/>
      <w:pPr>
        <w:ind w:left="2989" w:hanging="180"/>
      </w:pPr>
    </w:lvl>
    <w:lvl w:ilvl="3" w:tplc="FFFFFFFF" w:tentative="1">
      <w:start w:val="1"/>
      <w:numFmt w:val="decimal"/>
      <w:lvlText w:val="%4."/>
      <w:lvlJc w:val="left"/>
      <w:pPr>
        <w:ind w:left="3709" w:hanging="360"/>
      </w:pPr>
    </w:lvl>
    <w:lvl w:ilvl="4" w:tplc="FFFFFFFF" w:tentative="1">
      <w:start w:val="1"/>
      <w:numFmt w:val="lowerLetter"/>
      <w:lvlText w:val="%5."/>
      <w:lvlJc w:val="left"/>
      <w:pPr>
        <w:ind w:left="4429" w:hanging="360"/>
      </w:pPr>
    </w:lvl>
    <w:lvl w:ilvl="5" w:tplc="FFFFFFFF" w:tentative="1">
      <w:start w:val="1"/>
      <w:numFmt w:val="lowerRoman"/>
      <w:lvlText w:val="%6."/>
      <w:lvlJc w:val="right"/>
      <w:pPr>
        <w:ind w:left="5149" w:hanging="180"/>
      </w:pPr>
    </w:lvl>
    <w:lvl w:ilvl="6" w:tplc="FFFFFFFF" w:tentative="1">
      <w:start w:val="1"/>
      <w:numFmt w:val="decimal"/>
      <w:lvlText w:val="%7."/>
      <w:lvlJc w:val="left"/>
      <w:pPr>
        <w:ind w:left="5869" w:hanging="360"/>
      </w:pPr>
    </w:lvl>
    <w:lvl w:ilvl="7" w:tplc="FFFFFFFF" w:tentative="1">
      <w:start w:val="1"/>
      <w:numFmt w:val="lowerLetter"/>
      <w:lvlText w:val="%8."/>
      <w:lvlJc w:val="left"/>
      <w:pPr>
        <w:ind w:left="6589" w:hanging="360"/>
      </w:pPr>
    </w:lvl>
    <w:lvl w:ilvl="8" w:tplc="FFFFFFFF" w:tentative="1">
      <w:start w:val="1"/>
      <w:numFmt w:val="lowerRoman"/>
      <w:lvlText w:val="%9."/>
      <w:lvlJc w:val="right"/>
      <w:pPr>
        <w:ind w:left="7309" w:hanging="180"/>
      </w:pPr>
    </w:lvl>
  </w:abstractNum>
  <w:abstractNum w:abstractNumId="13" w15:restartNumberingAfterBreak="0">
    <w:nsid w:val="284F06BF"/>
    <w:multiLevelType w:val="hybridMultilevel"/>
    <w:tmpl w:val="792E59EC"/>
    <w:lvl w:ilvl="0" w:tplc="FFFFFFFF">
      <w:start w:val="1"/>
      <w:numFmt w:val="decimal"/>
      <w:lvlText w:val="%1)"/>
      <w:lvlJc w:val="left"/>
      <w:pPr>
        <w:ind w:left="1909" w:hanging="360"/>
      </w:pPr>
    </w:lvl>
    <w:lvl w:ilvl="1" w:tplc="FFFFFFFF" w:tentative="1">
      <w:start w:val="1"/>
      <w:numFmt w:val="lowerLetter"/>
      <w:lvlText w:val="%2."/>
      <w:lvlJc w:val="left"/>
      <w:pPr>
        <w:ind w:left="2629" w:hanging="360"/>
      </w:pPr>
    </w:lvl>
    <w:lvl w:ilvl="2" w:tplc="FFFFFFFF" w:tentative="1">
      <w:start w:val="1"/>
      <w:numFmt w:val="lowerRoman"/>
      <w:lvlText w:val="%3."/>
      <w:lvlJc w:val="right"/>
      <w:pPr>
        <w:ind w:left="3349" w:hanging="180"/>
      </w:pPr>
    </w:lvl>
    <w:lvl w:ilvl="3" w:tplc="FFFFFFFF" w:tentative="1">
      <w:start w:val="1"/>
      <w:numFmt w:val="decimal"/>
      <w:lvlText w:val="%4."/>
      <w:lvlJc w:val="left"/>
      <w:pPr>
        <w:ind w:left="4069" w:hanging="360"/>
      </w:pPr>
    </w:lvl>
    <w:lvl w:ilvl="4" w:tplc="FFFFFFFF" w:tentative="1">
      <w:start w:val="1"/>
      <w:numFmt w:val="lowerLetter"/>
      <w:lvlText w:val="%5."/>
      <w:lvlJc w:val="left"/>
      <w:pPr>
        <w:ind w:left="4789" w:hanging="360"/>
      </w:pPr>
    </w:lvl>
    <w:lvl w:ilvl="5" w:tplc="FFFFFFFF" w:tentative="1">
      <w:start w:val="1"/>
      <w:numFmt w:val="lowerRoman"/>
      <w:lvlText w:val="%6."/>
      <w:lvlJc w:val="right"/>
      <w:pPr>
        <w:ind w:left="5509" w:hanging="180"/>
      </w:pPr>
    </w:lvl>
    <w:lvl w:ilvl="6" w:tplc="FFFFFFFF" w:tentative="1">
      <w:start w:val="1"/>
      <w:numFmt w:val="decimal"/>
      <w:lvlText w:val="%7."/>
      <w:lvlJc w:val="left"/>
      <w:pPr>
        <w:ind w:left="6229" w:hanging="360"/>
      </w:pPr>
    </w:lvl>
    <w:lvl w:ilvl="7" w:tplc="FFFFFFFF" w:tentative="1">
      <w:start w:val="1"/>
      <w:numFmt w:val="lowerLetter"/>
      <w:lvlText w:val="%8."/>
      <w:lvlJc w:val="left"/>
      <w:pPr>
        <w:ind w:left="6949" w:hanging="360"/>
      </w:pPr>
    </w:lvl>
    <w:lvl w:ilvl="8" w:tplc="FFFFFFFF" w:tentative="1">
      <w:start w:val="1"/>
      <w:numFmt w:val="lowerRoman"/>
      <w:lvlText w:val="%9."/>
      <w:lvlJc w:val="right"/>
      <w:pPr>
        <w:ind w:left="7669" w:hanging="180"/>
      </w:pPr>
    </w:lvl>
  </w:abstractNum>
  <w:abstractNum w:abstractNumId="14" w15:restartNumberingAfterBreak="0">
    <w:nsid w:val="29210629"/>
    <w:multiLevelType w:val="hybridMultilevel"/>
    <w:tmpl w:val="F48641C6"/>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15:restartNumberingAfterBreak="0">
    <w:nsid w:val="2F5E7178"/>
    <w:multiLevelType w:val="hybridMultilevel"/>
    <w:tmpl w:val="66A2D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2F772131"/>
    <w:multiLevelType w:val="hybridMultilevel"/>
    <w:tmpl w:val="4712E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D3079"/>
    <w:multiLevelType w:val="hybridMultilevel"/>
    <w:tmpl w:val="22FA3F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BF50FF"/>
    <w:multiLevelType w:val="hybridMultilevel"/>
    <w:tmpl w:val="122EEDBE"/>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 w15:restartNumberingAfterBreak="0">
    <w:nsid w:val="33D828A1"/>
    <w:multiLevelType w:val="hybridMultilevel"/>
    <w:tmpl w:val="1E588C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1D07EF"/>
    <w:multiLevelType w:val="hybridMultilevel"/>
    <w:tmpl w:val="4C34B8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EE2F24"/>
    <w:multiLevelType w:val="hybridMultilevel"/>
    <w:tmpl w:val="749631C0"/>
    <w:lvl w:ilvl="0" w:tplc="B6E89974">
      <w:start w:val="1"/>
      <w:numFmt w:val="bullet"/>
      <w:lvlText w:val=""/>
      <w:lvlJc w:val="left"/>
      <w:pPr>
        <w:ind w:left="502"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DE4C40"/>
    <w:multiLevelType w:val="hybridMultilevel"/>
    <w:tmpl w:val="5A3C0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0D1CCE"/>
    <w:multiLevelType w:val="hybridMultilevel"/>
    <w:tmpl w:val="E3943F82"/>
    <w:lvl w:ilvl="0" w:tplc="E41213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D2F62C8"/>
    <w:multiLevelType w:val="hybridMultilevel"/>
    <w:tmpl w:val="B1CA2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764F46"/>
    <w:multiLevelType w:val="hybridMultilevel"/>
    <w:tmpl w:val="345CF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5F4296"/>
    <w:multiLevelType w:val="hybridMultilevel"/>
    <w:tmpl w:val="792E59EC"/>
    <w:lvl w:ilvl="0" w:tplc="04150011">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27" w15:restartNumberingAfterBreak="0">
    <w:nsid w:val="47F251DB"/>
    <w:multiLevelType w:val="multilevel"/>
    <w:tmpl w:val="06763968"/>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5A4BCD"/>
    <w:multiLevelType w:val="hybridMultilevel"/>
    <w:tmpl w:val="5F2C9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8411DE"/>
    <w:multiLevelType w:val="hybridMultilevel"/>
    <w:tmpl w:val="F7E48132"/>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713195"/>
    <w:multiLevelType w:val="hybridMultilevel"/>
    <w:tmpl w:val="3EB06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420301"/>
    <w:multiLevelType w:val="hybridMultilevel"/>
    <w:tmpl w:val="019C400A"/>
    <w:lvl w:ilvl="0" w:tplc="EB5E31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3855093"/>
    <w:multiLevelType w:val="hybridMultilevel"/>
    <w:tmpl w:val="A3B4CF7E"/>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15:restartNumberingAfterBreak="0">
    <w:nsid w:val="571624A3"/>
    <w:multiLevelType w:val="hybridMultilevel"/>
    <w:tmpl w:val="DB70F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F33E1"/>
    <w:multiLevelType w:val="hybridMultilevel"/>
    <w:tmpl w:val="5DCE053A"/>
    <w:lvl w:ilvl="0" w:tplc="8E526FB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58BF617A"/>
    <w:multiLevelType w:val="hybridMultilevel"/>
    <w:tmpl w:val="7DD284F4"/>
    <w:lvl w:ilvl="0" w:tplc="9ABEF290">
      <w:start w:val="1"/>
      <w:numFmt w:val="upperRoman"/>
      <w:lvlText w:val="%1."/>
      <w:lvlJc w:val="left"/>
      <w:pPr>
        <w:ind w:left="720" w:hanging="360"/>
      </w:pPr>
      <w:rPr>
        <w:rFonts w:ascii="Century" w:hAnsi="Century"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4C1C32"/>
    <w:multiLevelType w:val="hybridMultilevel"/>
    <w:tmpl w:val="34A04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0B7936"/>
    <w:multiLevelType w:val="hybridMultilevel"/>
    <w:tmpl w:val="D70C6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1A109F"/>
    <w:multiLevelType w:val="hybridMultilevel"/>
    <w:tmpl w:val="BED8F0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247C2B"/>
    <w:multiLevelType w:val="hybridMultilevel"/>
    <w:tmpl w:val="4C34B8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2A2B69"/>
    <w:multiLevelType w:val="hybridMultilevel"/>
    <w:tmpl w:val="16226B3C"/>
    <w:lvl w:ilvl="0" w:tplc="D1C86142">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C12BDB"/>
    <w:multiLevelType w:val="hybridMultilevel"/>
    <w:tmpl w:val="455071B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FC35A55"/>
    <w:multiLevelType w:val="hybridMultilevel"/>
    <w:tmpl w:val="51EC3A58"/>
    <w:lvl w:ilvl="0" w:tplc="0780F5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3C7038"/>
    <w:multiLevelType w:val="hybridMultilevel"/>
    <w:tmpl w:val="BED8F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A80821"/>
    <w:multiLevelType w:val="hybridMultilevel"/>
    <w:tmpl w:val="223E2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083B14"/>
    <w:multiLevelType w:val="hybridMultilevel"/>
    <w:tmpl w:val="3848B324"/>
    <w:lvl w:ilvl="0" w:tplc="E18C3C9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7B727B"/>
    <w:multiLevelType w:val="hybridMultilevel"/>
    <w:tmpl w:val="68A29786"/>
    <w:lvl w:ilvl="0" w:tplc="E18C3C90">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7" w15:restartNumberingAfterBreak="0">
    <w:nsid w:val="7A7B1676"/>
    <w:multiLevelType w:val="hybridMultilevel"/>
    <w:tmpl w:val="F26003E0"/>
    <w:lvl w:ilvl="0" w:tplc="E18C3C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C260E9E"/>
    <w:multiLevelType w:val="hybridMultilevel"/>
    <w:tmpl w:val="1DDAABD4"/>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6856258">
    <w:abstractNumId w:val="27"/>
  </w:num>
  <w:num w:numId="2" w16cid:durableId="1848978365">
    <w:abstractNumId w:val="22"/>
  </w:num>
  <w:num w:numId="3" w16cid:durableId="1336610106">
    <w:abstractNumId w:val="16"/>
  </w:num>
  <w:num w:numId="4" w16cid:durableId="15666349">
    <w:abstractNumId w:val="31"/>
  </w:num>
  <w:num w:numId="5" w16cid:durableId="1680738700">
    <w:abstractNumId w:val="47"/>
  </w:num>
  <w:num w:numId="6" w16cid:durableId="33383466">
    <w:abstractNumId w:val="33"/>
  </w:num>
  <w:num w:numId="7" w16cid:durableId="586615267">
    <w:abstractNumId w:val="42"/>
  </w:num>
  <w:num w:numId="8" w16cid:durableId="1396662714">
    <w:abstractNumId w:val="23"/>
  </w:num>
  <w:num w:numId="9" w16cid:durableId="839268986">
    <w:abstractNumId w:val="5"/>
  </w:num>
  <w:num w:numId="10" w16cid:durableId="1876431139">
    <w:abstractNumId w:val="26"/>
  </w:num>
  <w:num w:numId="11" w16cid:durableId="779688533">
    <w:abstractNumId w:val="35"/>
  </w:num>
  <w:num w:numId="12" w16cid:durableId="2021542328">
    <w:abstractNumId w:val="13"/>
  </w:num>
  <w:num w:numId="13" w16cid:durableId="1980188399">
    <w:abstractNumId w:val="44"/>
  </w:num>
  <w:num w:numId="14" w16cid:durableId="164247175">
    <w:abstractNumId w:val="12"/>
  </w:num>
  <w:num w:numId="15" w16cid:durableId="2098598560">
    <w:abstractNumId w:val="48"/>
  </w:num>
  <w:num w:numId="16" w16cid:durableId="732700450">
    <w:abstractNumId w:val="3"/>
  </w:num>
  <w:num w:numId="17" w16cid:durableId="1193882075">
    <w:abstractNumId w:val="37"/>
  </w:num>
  <w:num w:numId="18" w16cid:durableId="1395271897">
    <w:abstractNumId w:val="24"/>
  </w:num>
  <w:num w:numId="19" w16cid:durableId="986087196">
    <w:abstractNumId w:val="10"/>
  </w:num>
  <w:num w:numId="20" w16cid:durableId="303854823">
    <w:abstractNumId w:val="6"/>
  </w:num>
  <w:num w:numId="21" w16cid:durableId="769735830">
    <w:abstractNumId w:val="4"/>
  </w:num>
  <w:num w:numId="22" w16cid:durableId="618147716">
    <w:abstractNumId w:val="45"/>
  </w:num>
  <w:num w:numId="23" w16cid:durableId="1692490447">
    <w:abstractNumId w:val="2"/>
  </w:num>
  <w:num w:numId="24" w16cid:durableId="851531911">
    <w:abstractNumId w:val="29"/>
  </w:num>
  <w:num w:numId="25" w16cid:durableId="256796496">
    <w:abstractNumId w:val="14"/>
  </w:num>
  <w:num w:numId="26" w16cid:durableId="743145112">
    <w:abstractNumId w:val="32"/>
  </w:num>
  <w:num w:numId="27" w16cid:durableId="1686639130">
    <w:abstractNumId w:val="18"/>
  </w:num>
  <w:num w:numId="28" w16cid:durableId="352878213">
    <w:abstractNumId w:val="46"/>
  </w:num>
  <w:num w:numId="29" w16cid:durableId="85271925">
    <w:abstractNumId w:val="7"/>
  </w:num>
  <w:num w:numId="30" w16cid:durableId="2085296186">
    <w:abstractNumId w:val="25"/>
  </w:num>
  <w:num w:numId="31" w16cid:durableId="2122720732">
    <w:abstractNumId w:val="36"/>
  </w:num>
  <w:num w:numId="32" w16cid:durableId="71238920">
    <w:abstractNumId w:val="1"/>
  </w:num>
  <w:num w:numId="33" w16cid:durableId="954481755">
    <w:abstractNumId w:val="8"/>
  </w:num>
  <w:num w:numId="34" w16cid:durableId="1577475153">
    <w:abstractNumId w:val="34"/>
  </w:num>
  <w:num w:numId="35" w16cid:durableId="781534734">
    <w:abstractNumId w:val="21"/>
  </w:num>
  <w:num w:numId="36" w16cid:durableId="1564411102">
    <w:abstractNumId w:val="38"/>
  </w:num>
  <w:num w:numId="37" w16cid:durableId="684794342">
    <w:abstractNumId w:val="0"/>
  </w:num>
  <w:num w:numId="38" w16cid:durableId="1501920081">
    <w:abstractNumId w:val="30"/>
  </w:num>
  <w:num w:numId="39" w16cid:durableId="1773623218">
    <w:abstractNumId w:val="19"/>
  </w:num>
  <w:num w:numId="40" w16cid:durableId="1375302988">
    <w:abstractNumId w:val="43"/>
  </w:num>
  <w:num w:numId="41" w16cid:durableId="1244952028">
    <w:abstractNumId w:val="9"/>
  </w:num>
  <w:num w:numId="42" w16cid:durableId="1421678921">
    <w:abstractNumId w:val="41"/>
  </w:num>
  <w:num w:numId="43" w16cid:durableId="1868908718">
    <w:abstractNumId w:val="15"/>
  </w:num>
  <w:num w:numId="44" w16cid:durableId="1368679260">
    <w:abstractNumId w:val="11"/>
  </w:num>
  <w:num w:numId="45" w16cid:durableId="1564368981">
    <w:abstractNumId w:val="40"/>
  </w:num>
  <w:num w:numId="46" w16cid:durableId="1856923462">
    <w:abstractNumId w:val="17"/>
  </w:num>
  <w:num w:numId="47" w16cid:durableId="2101638549">
    <w:abstractNumId w:val="28"/>
  </w:num>
  <w:num w:numId="48" w16cid:durableId="1605381810">
    <w:abstractNumId w:val="39"/>
  </w:num>
  <w:num w:numId="49" w16cid:durableId="1750793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2"/>
    <w:rsid w:val="00000F1B"/>
    <w:rsid w:val="00006310"/>
    <w:rsid w:val="0001345D"/>
    <w:rsid w:val="00027280"/>
    <w:rsid w:val="00031BE4"/>
    <w:rsid w:val="00032363"/>
    <w:rsid w:val="00053E97"/>
    <w:rsid w:val="000603F2"/>
    <w:rsid w:val="00061849"/>
    <w:rsid w:val="000635EA"/>
    <w:rsid w:val="0008511D"/>
    <w:rsid w:val="00087F62"/>
    <w:rsid w:val="000A06AE"/>
    <w:rsid w:val="000A0A1D"/>
    <w:rsid w:val="000A0D09"/>
    <w:rsid w:val="000A4F04"/>
    <w:rsid w:val="000A65A1"/>
    <w:rsid w:val="000B3759"/>
    <w:rsid w:val="000C2A34"/>
    <w:rsid w:val="000D76C5"/>
    <w:rsid w:val="000D78AF"/>
    <w:rsid w:val="000F61AD"/>
    <w:rsid w:val="001012DE"/>
    <w:rsid w:val="00106836"/>
    <w:rsid w:val="00107FC0"/>
    <w:rsid w:val="001115F1"/>
    <w:rsid w:val="001128EF"/>
    <w:rsid w:val="00125CB2"/>
    <w:rsid w:val="00150A11"/>
    <w:rsid w:val="00163812"/>
    <w:rsid w:val="001740CC"/>
    <w:rsid w:val="0018326A"/>
    <w:rsid w:val="00194EFB"/>
    <w:rsid w:val="001A4A8E"/>
    <w:rsid w:val="001A528E"/>
    <w:rsid w:val="001A53D6"/>
    <w:rsid w:val="001A6A45"/>
    <w:rsid w:val="001B1031"/>
    <w:rsid w:val="001B5C15"/>
    <w:rsid w:val="001B721E"/>
    <w:rsid w:val="001C3CF8"/>
    <w:rsid w:val="001D1CE7"/>
    <w:rsid w:val="001D6844"/>
    <w:rsid w:val="001F694E"/>
    <w:rsid w:val="001F7573"/>
    <w:rsid w:val="00226F29"/>
    <w:rsid w:val="00242B21"/>
    <w:rsid w:val="00243285"/>
    <w:rsid w:val="002577E1"/>
    <w:rsid w:val="00265700"/>
    <w:rsid w:val="002667C4"/>
    <w:rsid w:val="0027113C"/>
    <w:rsid w:val="002842D1"/>
    <w:rsid w:val="00285080"/>
    <w:rsid w:val="00290300"/>
    <w:rsid w:val="00294CA2"/>
    <w:rsid w:val="002A1BCC"/>
    <w:rsid w:val="002B0A08"/>
    <w:rsid w:val="002C5AAD"/>
    <w:rsid w:val="002C5B1A"/>
    <w:rsid w:val="002E3FAF"/>
    <w:rsid w:val="002E46BE"/>
    <w:rsid w:val="002F11D1"/>
    <w:rsid w:val="002F262B"/>
    <w:rsid w:val="0030162D"/>
    <w:rsid w:val="003155F7"/>
    <w:rsid w:val="00320A39"/>
    <w:rsid w:val="00326B9E"/>
    <w:rsid w:val="00334229"/>
    <w:rsid w:val="0034476D"/>
    <w:rsid w:val="00347340"/>
    <w:rsid w:val="00350A91"/>
    <w:rsid w:val="0035341E"/>
    <w:rsid w:val="00357986"/>
    <w:rsid w:val="00357A8A"/>
    <w:rsid w:val="00365D1D"/>
    <w:rsid w:val="00370A95"/>
    <w:rsid w:val="00372DEC"/>
    <w:rsid w:val="00375775"/>
    <w:rsid w:val="003820E3"/>
    <w:rsid w:val="003928F8"/>
    <w:rsid w:val="00394136"/>
    <w:rsid w:val="00394EF7"/>
    <w:rsid w:val="003A6ABB"/>
    <w:rsid w:val="003B5BA1"/>
    <w:rsid w:val="003C0C9B"/>
    <w:rsid w:val="003C49EC"/>
    <w:rsid w:val="003C5A0F"/>
    <w:rsid w:val="003D553D"/>
    <w:rsid w:val="003E16E4"/>
    <w:rsid w:val="003E5189"/>
    <w:rsid w:val="003E584A"/>
    <w:rsid w:val="003F06A8"/>
    <w:rsid w:val="003F2D44"/>
    <w:rsid w:val="00401378"/>
    <w:rsid w:val="00402162"/>
    <w:rsid w:val="00412258"/>
    <w:rsid w:val="00413FF1"/>
    <w:rsid w:val="00414186"/>
    <w:rsid w:val="004151A2"/>
    <w:rsid w:val="00420CF0"/>
    <w:rsid w:val="00424F30"/>
    <w:rsid w:val="004269AE"/>
    <w:rsid w:val="00432711"/>
    <w:rsid w:val="00441B07"/>
    <w:rsid w:val="00451637"/>
    <w:rsid w:val="004535C6"/>
    <w:rsid w:val="004611A7"/>
    <w:rsid w:val="00461D9E"/>
    <w:rsid w:val="0046470F"/>
    <w:rsid w:val="0047344C"/>
    <w:rsid w:val="00474DB0"/>
    <w:rsid w:val="00475871"/>
    <w:rsid w:val="00476BA6"/>
    <w:rsid w:val="00483715"/>
    <w:rsid w:val="004848D6"/>
    <w:rsid w:val="00497907"/>
    <w:rsid w:val="004B2120"/>
    <w:rsid w:val="004B767D"/>
    <w:rsid w:val="004C1EE0"/>
    <w:rsid w:val="004C3A44"/>
    <w:rsid w:val="004D0888"/>
    <w:rsid w:val="004D223F"/>
    <w:rsid w:val="004E0CA5"/>
    <w:rsid w:val="004E213F"/>
    <w:rsid w:val="004E37C7"/>
    <w:rsid w:val="004E6657"/>
    <w:rsid w:val="004F038C"/>
    <w:rsid w:val="004F0AAF"/>
    <w:rsid w:val="0050043B"/>
    <w:rsid w:val="005041F8"/>
    <w:rsid w:val="005120A7"/>
    <w:rsid w:val="0051389C"/>
    <w:rsid w:val="0051567A"/>
    <w:rsid w:val="00531335"/>
    <w:rsid w:val="005313C8"/>
    <w:rsid w:val="005529C2"/>
    <w:rsid w:val="00554D6C"/>
    <w:rsid w:val="00556723"/>
    <w:rsid w:val="00566276"/>
    <w:rsid w:val="0057027B"/>
    <w:rsid w:val="00572A49"/>
    <w:rsid w:val="00573A63"/>
    <w:rsid w:val="00577317"/>
    <w:rsid w:val="005803FE"/>
    <w:rsid w:val="005806FD"/>
    <w:rsid w:val="005837A8"/>
    <w:rsid w:val="00594ABD"/>
    <w:rsid w:val="00594BB7"/>
    <w:rsid w:val="005A49FE"/>
    <w:rsid w:val="005D6565"/>
    <w:rsid w:val="005E1CC5"/>
    <w:rsid w:val="005F0994"/>
    <w:rsid w:val="00603104"/>
    <w:rsid w:val="00605647"/>
    <w:rsid w:val="00605883"/>
    <w:rsid w:val="00616A34"/>
    <w:rsid w:val="0061707B"/>
    <w:rsid w:val="006213E6"/>
    <w:rsid w:val="00621F89"/>
    <w:rsid w:val="006323CE"/>
    <w:rsid w:val="0063551E"/>
    <w:rsid w:val="0066261E"/>
    <w:rsid w:val="006715A7"/>
    <w:rsid w:val="006761CD"/>
    <w:rsid w:val="00684677"/>
    <w:rsid w:val="006860BE"/>
    <w:rsid w:val="00691ABC"/>
    <w:rsid w:val="0069644D"/>
    <w:rsid w:val="006973A8"/>
    <w:rsid w:val="006A4A8C"/>
    <w:rsid w:val="006A58E7"/>
    <w:rsid w:val="006A6131"/>
    <w:rsid w:val="006A6503"/>
    <w:rsid w:val="006A682F"/>
    <w:rsid w:val="006A68DC"/>
    <w:rsid w:val="006B2175"/>
    <w:rsid w:val="006B4A0B"/>
    <w:rsid w:val="006C0A94"/>
    <w:rsid w:val="006C2A6D"/>
    <w:rsid w:val="006F051D"/>
    <w:rsid w:val="006F1628"/>
    <w:rsid w:val="006F6851"/>
    <w:rsid w:val="0070340B"/>
    <w:rsid w:val="00712A14"/>
    <w:rsid w:val="00732E11"/>
    <w:rsid w:val="00736FB6"/>
    <w:rsid w:val="0074393B"/>
    <w:rsid w:val="00746918"/>
    <w:rsid w:val="007469D2"/>
    <w:rsid w:val="007523E3"/>
    <w:rsid w:val="00752DA2"/>
    <w:rsid w:val="00756D97"/>
    <w:rsid w:val="007574FB"/>
    <w:rsid w:val="00766EF3"/>
    <w:rsid w:val="00784CCF"/>
    <w:rsid w:val="00794149"/>
    <w:rsid w:val="007A0B78"/>
    <w:rsid w:val="007B0A31"/>
    <w:rsid w:val="007B3281"/>
    <w:rsid w:val="007B6B20"/>
    <w:rsid w:val="007B727B"/>
    <w:rsid w:val="007C504C"/>
    <w:rsid w:val="007D0662"/>
    <w:rsid w:val="007E535E"/>
    <w:rsid w:val="007F24E0"/>
    <w:rsid w:val="00821D06"/>
    <w:rsid w:val="008225AE"/>
    <w:rsid w:val="0085444C"/>
    <w:rsid w:val="00854A5A"/>
    <w:rsid w:val="008604B0"/>
    <w:rsid w:val="00876D08"/>
    <w:rsid w:val="0088313A"/>
    <w:rsid w:val="00886D88"/>
    <w:rsid w:val="008B61FA"/>
    <w:rsid w:val="008B75CF"/>
    <w:rsid w:val="008C33FE"/>
    <w:rsid w:val="008C61C3"/>
    <w:rsid w:val="008D3F32"/>
    <w:rsid w:val="008D5DDB"/>
    <w:rsid w:val="008E3CEF"/>
    <w:rsid w:val="008F593B"/>
    <w:rsid w:val="008F6F2F"/>
    <w:rsid w:val="009014DB"/>
    <w:rsid w:val="00905CF7"/>
    <w:rsid w:val="009540F3"/>
    <w:rsid w:val="009579FB"/>
    <w:rsid w:val="00957B7B"/>
    <w:rsid w:val="00961B97"/>
    <w:rsid w:val="00962159"/>
    <w:rsid w:val="00964DA0"/>
    <w:rsid w:val="009711DA"/>
    <w:rsid w:val="0097223E"/>
    <w:rsid w:val="00977064"/>
    <w:rsid w:val="00990115"/>
    <w:rsid w:val="009A392F"/>
    <w:rsid w:val="009B4564"/>
    <w:rsid w:val="009B62E3"/>
    <w:rsid w:val="009C1C3D"/>
    <w:rsid w:val="009D17B1"/>
    <w:rsid w:val="009D57C0"/>
    <w:rsid w:val="009E1C00"/>
    <w:rsid w:val="009E74F7"/>
    <w:rsid w:val="009F55E0"/>
    <w:rsid w:val="009F586F"/>
    <w:rsid w:val="00A00597"/>
    <w:rsid w:val="00A0793F"/>
    <w:rsid w:val="00A10869"/>
    <w:rsid w:val="00A16D1E"/>
    <w:rsid w:val="00A21FBD"/>
    <w:rsid w:val="00A30FA1"/>
    <w:rsid w:val="00A3223C"/>
    <w:rsid w:val="00A375F9"/>
    <w:rsid w:val="00A37E53"/>
    <w:rsid w:val="00A52400"/>
    <w:rsid w:val="00A54CCB"/>
    <w:rsid w:val="00A550CD"/>
    <w:rsid w:val="00A56C54"/>
    <w:rsid w:val="00A628F9"/>
    <w:rsid w:val="00A66DC2"/>
    <w:rsid w:val="00A7161E"/>
    <w:rsid w:val="00A85F2E"/>
    <w:rsid w:val="00A92C2D"/>
    <w:rsid w:val="00AA3699"/>
    <w:rsid w:val="00AA7DAA"/>
    <w:rsid w:val="00AB033C"/>
    <w:rsid w:val="00AB4B97"/>
    <w:rsid w:val="00AD2B56"/>
    <w:rsid w:val="00AD5D71"/>
    <w:rsid w:val="00AE138C"/>
    <w:rsid w:val="00AE6366"/>
    <w:rsid w:val="00AF3AED"/>
    <w:rsid w:val="00B1364E"/>
    <w:rsid w:val="00B2479F"/>
    <w:rsid w:val="00B37693"/>
    <w:rsid w:val="00B43384"/>
    <w:rsid w:val="00B5005A"/>
    <w:rsid w:val="00B57434"/>
    <w:rsid w:val="00B65445"/>
    <w:rsid w:val="00B65477"/>
    <w:rsid w:val="00B65BDB"/>
    <w:rsid w:val="00B7190C"/>
    <w:rsid w:val="00B83B85"/>
    <w:rsid w:val="00B84A6E"/>
    <w:rsid w:val="00B905DD"/>
    <w:rsid w:val="00B91091"/>
    <w:rsid w:val="00B93ABC"/>
    <w:rsid w:val="00B94735"/>
    <w:rsid w:val="00B97A2A"/>
    <w:rsid w:val="00BA527C"/>
    <w:rsid w:val="00BA688F"/>
    <w:rsid w:val="00BC2BA5"/>
    <w:rsid w:val="00BC409A"/>
    <w:rsid w:val="00BC4C44"/>
    <w:rsid w:val="00BC6B14"/>
    <w:rsid w:val="00BD1646"/>
    <w:rsid w:val="00BD1A95"/>
    <w:rsid w:val="00BD6526"/>
    <w:rsid w:val="00BE1936"/>
    <w:rsid w:val="00BE27A1"/>
    <w:rsid w:val="00BE3BCE"/>
    <w:rsid w:val="00BF2A47"/>
    <w:rsid w:val="00BF626F"/>
    <w:rsid w:val="00BF7093"/>
    <w:rsid w:val="00C019E3"/>
    <w:rsid w:val="00C109C8"/>
    <w:rsid w:val="00C151C9"/>
    <w:rsid w:val="00C364B8"/>
    <w:rsid w:val="00C40A3B"/>
    <w:rsid w:val="00C40AB4"/>
    <w:rsid w:val="00C447A9"/>
    <w:rsid w:val="00C45748"/>
    <w:rsid w:val="00C548CC"/>
    <w:rsid w:val="00C5547D"/>
    <w:rsid w:val="00C609C3"/>
    <w:rsid w:val="00C66A95"/>
    <w:rsid w:val="00C92F28"/>
    <w:rsid w:val="00CA49CC"/>
    <w:rsid w:val="00CB31E5"/>
    <w:rsid w:val="00CB65D7"/>
    <w:rsid w:val="00CC57AE"/>
    <w:rsid w:val="00CD1F64"/>
    <w:rsid w:val="00CD267A"/>
    <w:rsid w:val="00CD3C2D"/>
    <w:rsid w:val="00CE41A8"/>
    <w:rsid w:val="00CE6F06"/>
    <w:rsid w:val="00D010E2"/>
    <w:rsid w:val="00D10D8A"/>
    <w:rsid w:val="00D12B0B"/>
    <w:rsid w:val="00D17C83"/>
    <w:rsid w:val="00D17DA5"/>
    <w:rsid w:val="00D345B3"/>
    <w:rsid w:val="00D5236E"/>
    <w:rsid w:val="00D60425"/>
    <w:rsid w:val="00D62400"/>
    <w:rsid w:val="00D640F0"/>
    <w:rsid w:val="00D65429"/>
    <w:rsid w:val="00D75EF8"/>
    <w:rsid w:val="00D77BE3"/>
    <w:rsid w:val="00D926D6"/>
    <w:rsid w:val="00D95285"/>
    <w:rsid w:val="00DA1AEE"/>
    <w:rsid w:val="00DA1D26"/>
    <w:rsid w:val="00DA653D"/>
    <w:rsid w:val="00DA70F9"/>
    <w:rsid w:val="00DB1CCF"/>
    <w:rsid w:val="00DB4D42"/>
    <w:rsid w:val="00DC1291"/>
    <w:rsid w:val="00DD5BC2"/>
    <w:rsid w:val="00DE2FFA"/>
    <w:rsid w:val="00DE74CE"/>
    <w:rsid w:val="00E13998"/>
    <w:rsid w:val="00E251B1"/>
    <w:rsid w:val="00E2723C"/>
    <w:rsid w:val="00E32014"/>
    <w:rsid w:val="00E33F8A"/>
    <w:rsid w:val="00E36BC5"/>
    <w:rsid w:val="00E4262B"/>
    <w:rsid w:val="00E430BA"/>
    <w:rsid w:val="00E46089"/>
    <w:rsid w:val="00E54BED"/>
    <w:rsid w:val="00E556D1"/>
    <w:rsid w:val="00E56CCD"/>
    <w:rsid w:val="00E603A1"/>
    <w:rsid w:val="00E621DF"/>
    <w:rsid w:val="00E90972"/>
    <w:rsid w:val="00E95ADD"/>
    <w:rsid w:val="00E95BA8"/>
    <w:rsid w:val="00E96F62"/>
    <w:rsid w:val="00EA27D2"/>
    <w:rsid w:val="00EB07FB"/>
    <w:rsid w:val="00EC3762"/>
    <w:rsid w:val="00EC468E"/>
    <w:rsid w:val="00EF5017"/>
    <w:rsid w:val="00EF729F"/>
    <w:rsid w:val="00F00E33"/>
    <w:rsid w:val="00F05079"/>
    <w:rsid w:val="00F05D0B"/>
    <w:rsid w:val="00F25F52"/>
    <w:rsid w:val="00F407FC"/>
    <w:rsid w:val="00F41959"/>
    <w:rsid w:val="00F45436"/>
    <w:rsid w:val="00F47984"/>
    <w:rsid w:val="00F73A57"/>
    <w:rsid w:val="00F833BE"/>
    <w:rsid w:val="00F84DF7"/>
    <w:rsid w:val="00F926FE"/>
    <w:rsid w:val="00F9358C"/>
    <w:rsid w:val="00F94BBE"/>
    <w:rsid w:val="00FA4805"/>
    <w:rsid w:val="00FB0531"/>
    <w:rsid w:val="00FB0D3C"/>
    <w:rsid w:val="00FD1F12"/>
    <w:rsid w:val="00FE2487"/>
    <w:rsid w:val="00FE4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164F"/>
  <w15:docId w15:val="{E842FB18-CDAA-4926-996B-46320D26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Zwykytekst">
    <w:name w:val="Plain Text"/>
    <w:basedOn w:val="Normalny"/>
    <w:link w:val="ZwykytekstZnak"/>
    <w:uiPriority w:val="99"/>
    <w:semiHidden/>
    <w:unhideWhenUsed/>
    <w:rsid w:val="00E4262B"/>
    <w:pPr>
      <w:spacing w:after="0" w:line="240" w:lineRule="auto"/>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E4262B"/>
    <w:rPr>
      <w:rFonts w:ascii="Calibri" w:eastAsia="Calibri" w:hAnsi="Calibri" w:cs="Times New Roman"/>
      <w:sz w:val="22"/>
      <w:szCs w:val="21"/>
      <w:lang w:eastAsia="en-US"/>
    </w:rPr>
  </w:style>
  <w:style w:type="paragraph" w:styleId="Stopka">
    <w:name w:val="footer"/>
    <w:basedOn w:val="Normalny"/>
    <w:link w:val="StopkaZnak"/>
    <w:uiPriority w:val="99"/>
    <w:unhideWhenUsed/>
    <w:rsid w:val="00243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285"/>
    <w:rPr>
      <w:rFonts w:ascii="Times New Roman" w:eastAsia="Times New Roman" w:hAnsi="Times New Roman" w:cs="Times New Roman"/>
    </w:rPr>
  </w:style>
  <w:style w:type="paragraph" w:styleId="Akapitzlist">
    <w:name w:val="List Paragraph"/>
    <w:basedOn w:val="Normalny"/>
    <w:unhideWhenUsed/>
    <w:qFormat/>
    <w:rsid w:val="004B767D"/>
    <w:pPr>
      <w:ind w:left="720"/>
      <w:contextualSpacing/>
    </w:pPr>
  </w:style>
  <w:style w:type="character" w:styleId="Odwoaniedokomentarza">
    <w:name w:val="annotation reference"/>
    <w:basedOn w:val="Domylnaczcionkaakapitu"/>
    <w:uiPriority w:val="99"/>
    <w:semiHidden/>
    <w:unhideWhenUsed/>
    <w:rsid w:val="0097223E"/>
    <w:rPr>
      <w:sz w:val="16"/>
      <w:szCs w:val="16"/>
    </w:rPr>
  </w:style>
  <w:style w:type="paragraph" w:styleId="Tekstkomentarza">
    <w:name w:val="annotation text"/>
    <w:basedOn w:val="Normalny"/>
    <w:link w:val="TekstkomentarzaZnak"/>
    <w:uiPriority w:val="99"/>
    <w:unhideWhenUsed/>
    <w:rsid w:val="0097223E"/>
    <w:pPr>
      <w:spacing w:line="240" w:lineRule="auto"/>
    </w:pPr>
    <w:rPr>
      <w:sz w:val="20"/>
      <w:szCs w:val="20"/>
    </w:rPr>
  </w:style>
  <w:style w:type="character" w:customStyle="1" w:styleId="TekstkomentarzaZnak">
    <w:name w:val="Tekst komentarza Znak"/>
    <w:basedOn w:val="Domylnaczcionkaakapitu"/>
    <w:link w:val="Tekstkomentarza"/>
    <w:uiPriority w:val="99"/>
    <w:rsid w:val="0097223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7223E"/>
    <w:rPr>
      <w:b/>
      <w:bCs/>
    </w:rPr>
  </w:style>
  <w:style w:type="character" w:customStyle="1" w:styleId="TematkomentarzaZnak">
    <w:name w:val="Temat komentarza Znak"/>
    <w:basedOn w:val="TekstkomentarzaZnak"/>
    <w:link w:val="Tematkomentarza"/>
    <w:uiPriority w:val="99"/>
    <w:semiHidden/>
    <w:rsid w:val="0097223E"/>
    <w:rPr>
      <w:rFonts w:ascii="Times New Roman" w:eastAsia="Times New Roman" w:hAnsi="Times New Roman" w:cs="Times New Roman"/>
      <w:b/>
      <w:bCs/>
      <w:sz w:val="20"/>
      <w:szCs w:val="20"/>
    </w:rPr>
  </w:style>
  <w:style w:type="character" w:styleId="Numerstrony">
    <w:name w:val="page number"/>
    <w:basedOn w:val="Domylnaczcionkaakapitu"/>
    <w:unhideWhenUsed/>
    <w:rsid w:val="0046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9195">
      <w:bodyDiv w:val="1"/>
      <w:marLeft w:val="0"/>
      <w:marRight w:val="0"/>
      <w:marTop w:val="0"/>
      <w:marBottom w:val="0"/>
      <w:divBdr>
        <w:top w:val="none" w:sz="0" w:space="0" w:color="auto"/>
        <w:left w:val="none" w:sz="0" w:space="0" w:color="auto"/>
        <w:bottom w:val="none" w:sz="0" w:space="0" w:color="auto"/>
        <w:right w:val="none" w:sz="0" w:space="0" w:color="auto"/>
      </w:divBdr>
    </w:div>
    <w:div w:id="631637207">
      <w:bodyDiv w:val="1"/>
      <w:marLeft w:val="0"/>
      <w:marRight w:val="0"/>
      <w:marTop w:val="0"/>
      <w:marBottom w:val="0"/>
      <w:divBdr>
        <w:top w:val="none" w:sz="0" w:space="0" w:color="auto"/>
        <w:left w:val="none" w:sz="0" w:space="0" w:color="auto"/>
        <w:bottom w:val="none" w:sz="0" w:space="0" w:color="auto"/>
        <w:right w:val="none" w:sz="0" w:space="0" w:color="auto"/>
      </w:divBdr>
    </w:div>
    <w:div w:id="690108370">
      <w:bodyDiv w:val="1"/>
      <w:marLeft w:val="0"/>
      <w:marRight w:val="0"/>
      <w:marTop w:val="0"/>
      <w:marBottom w:val="0"/>
      <w:divBdr>
        <w:top w:val="none" w:sz="0" w:space="0" w:color="auto"/>
        <w:left w:val="none" w:sz="0" w:space="0" w:color="auto"/>
        <w:bottom w:val="none" w:sz="0" w:space="0" w:color="auto"/>
        <w:right w:val="none" w:sz="0" w:space="0" w:color="auto"/>
      </w:divBdr>
    </w:div>
    <w:div w:id="1476296156">
      <w:bodyDiv w:val="1"/>
      <w:marLeft w:val="0"/>
      <w:marRight w:val="0"/>
      <w:marTop w:val="0"/>
      <w:marBottom w:val="0"/>
      <w:divBdr>
        <w:top w:val="none" w:sz="0" w:space="0" w:color="auto"/>
        <w:left w:val="none" w:sz="0" w:space="0" w:color="auto"/>
        <w:bottom w:val="none" w:sz="0" w:space="0" w:color="auto"/>
        <w:right w:val="none" w:sz="0" w:space="0" w:color="auto"/>
      </w:divBdr>
    </w:div>
    <w:div w:id="1552691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ugqztkltqmfyc4njzgq3dsmjtg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mnbugqztkltqmfyc4njzgq3dsmju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3512-A590-4005-A115-5AD95FDF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6845</Words>
  <Characters>41072</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Żaneta Płotka</dc:creator>
  <cp:lastModifiedBy>Szymichowski_02</cp:lastModifiedBy>
  <cp:revision>17</cp:revision>
  <cp:lastPrinted>2026-01-05T12:12:00Z</cp:lastPrinted>
  <dcterms:created xsi:type="dcterms:W3CDTF">2025-12-12T10:36:00Z</dcterms:created>
  <dcterms:modified xsi:type="dcterms:W3CDTF">2026-06-19T12:11:00Z</dcterms:modified>
</cp:coreProperties>
</file>